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p w:rsidR="007F0D7F" w:rsidRDefault="007F0D7F"/>
    <w:p w:rsidR="007F0D7F" w:rsidRDefault="007F0D7F"/>
    <w:p w:rsidR="007F0D7F" w:rsidRDefault="007F0D7F"/>
    <w:p w:rsidR="007F0D7F" w:rsidRDefault="007F0D7F"/>
    <w:p w:rsidR="007F0D7F" w:rsidRDefault="007F0D7F"/>
    <w:tbl>
      <w:tblPr>
        <w:tblW w:w="15428" w:type="dxa"/>
        <w:jc w:val="center"/>
        <w:tblCellMar>
          <w:left w:w="70" w:type="dxa"/>
          <w:right w:w="70" w:type="dxa"/>
        </w:tblCellMar>
        <w:tblLook w:val="04A0"/>
      </w:tblPr>
      <w:tblGrid>
        <w:gridCol w:w="6141"/>
        <w:gridCol w:w="1512"/>
        <w:gridCol w:w="6262"/>
        <w:gridCol w:w="1513"/>
      </w:tblGrid>
      <w:tr w:rsidR="007F0D7F" w:rsidRPr="007F0D7F" w:rsidTr="007F0D7F">
        <w:trPr>
          <w:trHeight w:val="315"/>
          <w:jc w:val="center"/>
        </w:trPr>
        <w:tc>
          <w:tcPr>
            <w:tcW w:w="1542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bottom"/>
            <w:hideMark/>
          </w:tcPr>
          <w:p w:rsidR="007F0D7F" w:rsidRPr="007F0D7F" w:rsidRDefault="007F0D7F" w:rsidP="007F0D7F">
            <w:pPr>
              <w:jc w:val="center"/>
              <w:rPr>
                <w:rFonts w:eastAsia="Times New Roman"/>
                <w:b/>
                <w:bCs/>
                <w:color w:val="0000FF"/>
                <w:szCs w:val="24"/>
                <w:lang w:eastAsia="fr-FR"/>
              </w:rPr>
            </w:pPr>
            <w:r w:rsidRPr="007F0D7F">
              <w:rPr>
                <w:rFonts w:eastAsia="Times New Roman"/>
                <w:b/>
                <w:bCs/>
                <w:color w:val="0000FF"/>
                <w:szCs w:val="24"/>
                <w:lang w:eastAsia="fr-FR"/>
              </w:rPr>
              <w:t>SA ORS - Tableau de financement (Partie I)</w:t>
            </w:r>
          </w:p>
        </w:tc>
      </w:tr>
      <w:tr w:rsidR="007F0D7F" w:rsidRPr="007F0D7F" w:rsidTr="007F0D7F">
        <w:trPr>
          <w:trHeight w:val="315"/>
          <w:jc w:val="center"/>
        </w:trPr>
        <w:tc>
          <w:tcPr>
            <w:tcW w:w="6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7F0D7F" w:rsidRPr="007F0D7F" w:rsidRDefault="007F0D7F" w:rsidP="007F0D7F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F0D7F">
              <w:rPr>
                <w:rFonts w:eastAsia="Times New Roman"/>
                <w:b/>
                <w:bCs/>
                <w:szCs w:val="24"/>
                <w:lang w:eastAsia="fr-FR"/>
              </w:rPr>
              <w:t>EMPLOIS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7F0D7F" w:rsidRPr="007F0D7F" w:rsidRDefault="007F0D7F" w:rsidP="007F0D7F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F0D7F">
              <w:rPr>
                <w:rFonts w:eastAsia="Times New Roman"/>
                <w:b/>
                <w:bCs/>
                <w:szCs w:val="24"/>
                <w:lang w:eastAsia="fr-FR"/>
              </w:rPr>
              <w:t>Montants</w:t>
            </w:r>
          </w:p>
        </w:tc>
        <w:tc>
          <w:tcPr>
            <w:tcW w:w="6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7F0D7F" w:rsidRPr="007F0D7F" w:rsidRDefault="007F0D7F" w:rsidP="007F0D7F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F0D7F">
              <w:rPr>
                <w:rFonts w:eastAsia="Times New Roman"/>
                <w:b/>
                <w:bCs/>
                <w:szCs w:val="24"/>
                <w:lang w:eastAsia="fr-FR"/>
              </w:rPr>
              <w:t>RESSOURCES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7F0D7F" w:rsidRPr="007F0D7F" w:rsidRDefault="007F0D7F" w:rsidP="007F0D7F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F0D7F">
              <w:rPr>
                <w:rFonts w:eastAsia="Times New Roman"/>
                <w:b/>
                <w:bCs/>
                <w:szCs w:val="24"/>
                <w:lang w:eastAsia="fr-FR"/>
              </w:rPr>
              <w:t>Montants</w:t>
            </w:r>
          </w:p>
        </w:tc>
      </w:tr>
      <w:tr w:rsidR="007F0D7F" w:rsidRPr="007F0D7F" w:rsidTr="007F0D7F">
        <w:trPr>
          <w:trHeight w:val="190"/>
          <w:jc w:val="center"/>
        </w:trPr>
        <w:tc>
          <w:tcPr>
            <w:tcW w:w="6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F0D7F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62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F0D7F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F0D7F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7F0D7F" w:rsidRPr="007F0D7F" w:rsidTr="007F0D7F">
        <w:trPr>
          <w:trHeight w:val="302"/>
          <w:jc w:val="center"/>
        </w:trPr>
        <w:tc>
          <w:tcPr>
            <w:tcW w:w="6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F0D7F">
              <w:rPr>
                <w:rFonts w:eastAsia="Times New Roman"/>
                <w:szCs w:val="24"/>
                <w:lang w:eastAsia="fr-FR"/>
              </w:rPr>
              <w:t>Distributions mises en paiement au cours de l'exercice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62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F0D7F">
              <w:rPr>
                <w:rFonts w:eastAsia="Times New Roman"/>
                <w:szCs w:val="24"/>
                <w:lang w:eastAsia="fr-FR"/>
              </w:rPr>
              <w:t>Capacité d'autofinancement de l'exercice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7F0D7F" w:rsidRPr="007F0D7F" w:rsidTr="007F0D7F">
        <w:trPr>
          <w:trHeight w:val="190"/>
          <w:jc w:val="center"/>
        </w:trPr>
        <w:tc>
          <w:tcPr>
            <w:tcW w:w="6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F0D7F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62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F0D7F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7F0D7F" w:rsidRPr="007F0D7F" w:rsidTr="007F0D7F">
        <w:trPr>
          <w:trHeight w:val="302"/>
          <w:jc w:val="center"/>
        </w:trPr>
        <w:tc>
          <w:tcPr>
            <w:tcW w:w="6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F0D7F">
              <w:rPr>
                <w:rFonts w:eastAsia="Times New Roman"/>
                <w:szCs w:val="24"/>
                <w:lang w:eastAsia="fr-FR"/>
              </w:rPr>
              <w:t>Acquisitions d'éléments de l'actif immobilisé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62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F0D7F">
              <w:rPr>
                <w:rFonts w:eastAsia="Times New Roman"/>
                <w:szCs w:val="24"/>
                <w:lang w:eastAsia="fr-FR"/>
              </w:rPr>
              <w:t>Cessions ou réductions d'éléments de l'actif immobilisé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7F0D7F" w:rsidRPr="007F0D7F" w:rsidTr="007F0D7F">
        <w:trPr>
          <w:trHeight w:val="302"/>
          <w:jc w:val="center"/>
        </w:trPr>
        <w:tc>
          <w:tcPr>
            <w:tcW w:w="6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F0D7F">
              <w:rPr>
                <w:rFonts w:eastAsia="Times New Roman"/>
                <w:szCs w:val="24"/>
                <w:lang w:eastAsia="fr-FR"/>
              </w:rPr>
              <w:t>Immobilisations incorporelles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62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F0D7F">
              <w:rPr>
                <w:rFonts w:eastAsia="Times New Roman"/>
                <w:szCs w:val="24"/>
                <w:lang w:eastAsia="fr-FR"/>
              </w:rPr>
              <w:t>Cessions d'immobilisations :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7F0D7F" w:rsidRPr="007F0D7F" w:rsidTr="007F0D7F">
        <w:trPr>
          <w:trHeight w:val="302"/>
          <w:jc w:val="center"/>
        </w:trPr>
        <w:tc>
          <w:tcPr>
            <w:tcW w:w="6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F0D7F">
              <w:rPr>
                <w:rFonts w:eastAsia="Times New Roman"/>
                <w:szCs w:val="24"/>
                <w:lang w:eastAsia="fr-FR"/>
              </w:rPr>
              <w:t>Immobilisations corporelles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62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F0D7F">
              <w:rPr>
                <w:rFonts w:eastAsia="Times New Roman"/>
                <w:szCs w:val="24"/>
                <w:lang w:eastAsia="fr-FR"/>
              </w:rPr>
              <w:t xml:space="preserve"> - incorporelles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7F0D7F" w:rsidRPr="007F0D7F" w:rsidTr="007F0D7F">
        <w:trPr>
          <w:trHeight w:val="302"/>
          <w:jc w:val="center"/>
        </w:trPr>
        <w:tc>
          <w:tcPr>
            <w:tcW w:w="6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F0D7F">
              <w:rPr>
                <w:rFonts w:eastAsia="Times New Roman"/>
                <w:szCs w:val="24"/>
                <w:lang w:eastAsia="fr-FR"/>
              </w:rPr>
              <w:t>Immobilisations financières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62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F0D7F">
              <w:rPr>
                <w:rFonts w:eastAsia="Times New Roman"/>
                <w:szCs w:val="24"/>
                <w:lang w:eastAsia="fr-FR"/>
              </w:rPr>
              <w:t xml:space="preserve"> - corporelles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7F0D7F" w:rsidRPr="007F0D7F" w:rsidTr="007F0D7F">
        <w:trPr>
          <w:trHeight w:val="190"/>
          <w:jc w:val="center"/>
        </w:trPr>
        <w:tc>
          <w:tcPr>
            <w:tcW w:w="6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F0D7F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62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F0D7F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7F0D7F" w:rsidRPr="007F0D7F" w:rsidTr="007F0D7F">
        <w:trPr>
          <w:trHeight w:val="302"/>
          <w:jc w:val="center"/>
        </w:trPr>
        <w:tc>
          <w:tcPr>
            <w:tcW w:w="6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F0D7F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62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F0D7F">
              <w:rPr>
                <w:rFonts w:eastAsia="Times New Roman"/>
                <w:szCs w:val="24"/>
                <w:lang w:eastAsia="fr-FR"/>
              </w:rPr>
              <w:t>Cessions ou réductions d'immobilisations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7F0D7F" w:rsidRPr="007F0D7F" w:rsidTr="007F0D7F">
        <w:trPr>
          <w:trHeight w:val="302"/>
          <w:jc w:val="center"/>
        </w:trPr>
        <w:tc>
          <w:tcPr>
            <w:tcW w:w="6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F0D7F">
              <w:rPr>
                <w:rFonts w:eastAsia="Times New Roman"/>
                <w:szCs w:val="24"/>
                <w:lang w:eastAsia="fr-FR"/>
              </w:rPr>
              <w:t>Charges à répartir sur plusieurs exercices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62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F0D7F">
              <w:rPr>
                <w:rFonts w:eastAsia="Times New Roman"/>
                <w:szCs w:val="24"/>
                <w:lang w:eastAsia="fr-FR"/>
              </w:rPr>
              <w:t>financières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7F0D7F" w:rsidRPr="007F0D7F" w:rsidTr="007F0D7F">
        <w:trPr>
          <w:trHeight w:val="190"/>
          <w:jc w:val="center"/>
        </w:trPr>
        <w:tc>
          <w:tcPr>
            <w:tcW w:w="6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F0D7F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62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F0D7F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7F0D7F" w:rsidRPr="007F0D7F" w:rsidTr="007F0D7F">
        <w:trPr>
          <w:trHeight w:val="302"/>
          <w:jc w:val="center"/>
        </w:trPr>
        <w:tc>
          <w:tcPr>
            <w:tcW w:w="6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F0D7F">
              <w:rPr>
                <w:rFonts w:eastAsia="Times New Roman"/>
                <w:szCs w:val="24"/>
                <w:lang w:eastAsia="fr-FR"/>
              </w:rPr>
              <w:t>Réductions des capitaux propres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62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F0D7F">
              <w:rPr>
                <w:rFonts w:eastAsia="Times New Roman"/>
                <w:szCs w:val="24"/>
                <w:lang w:eastAsia="fr-FR"/>
              </w:rPr>
              <w:t>Augmentation des capitaux propres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7F0D7F" w:rsidRPr="007F0D7F" w:rsidTr="007F0D7F">
        <w:trPr>
          <w:trHeight w:val="302"/>
          <w:jc w:val="center"/>
        </w:trPr>
        <w:tc>
          <w:tcPr>
            <w:tcW w:w="6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F0D7F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62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F0D7F">
              <w:rPr>
                <w:rFonts w:eastAsia="Times New Roman"/>
                <w:szCs w:val="24"/>
                <w:lang w:eastAsia="fr-FR"/>
              </w:rPr>
              <w:t>Augmentation de capital ou apports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7F0D7F" w:rsidRPr="007F0D7F" w:rsidTr="007F0D7F">
        <w:trPr>
          <w:trHeight w:val="302"/>
          <w:jc w:val="center"/>
        </w:trPr>
        <w:tc>
          <w:tcPr>
            <w:tcW w:w="6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F0D7F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62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F0D7F">
              <w:rPr>
                <w:rFonts w:eastAsia="Times New Roman"/>
                <w:szCs w:val="24"/>
                <w:lang w:eastAsia="fr-FR"/>
              </w:rPr>
              <w:t>Augmentation des autres capitaux propres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7F0D7F" w:rsidRPr="007F0D7F" w:rsidTr="007F0D7F">
        <w:trPr>
          <w:trHeight w:val="190"/>
          <w:jc w:val="center"/>
        </w:trPr>
        <w:tc>
          <w:tcPr>
            <w:tcW w:w="6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F0D7F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62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F0D7F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7F0D7F" w:rsidRPr="007F0D7F" w:rsidTr="007F0D7F">
        <w:trPr>
          <w:trHeight w:val="302"/>
          <w:jc w:val="center"/>
        </w:trPr>
        <w:tc>
          <w:tcPr>
            <w:tcW w:w="6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F0D7F">
              <w:rPr>
                <w:rFonts w:eastAsia="Times New Roman"/>
                <w:szCs w:val="24"/>
                <w:lang w:eastAsia="fr-FR"/>
              </w:rPr>
              <w:t>Remboursements des dettes financières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62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F0D7F">
              <w:rPr>
                <w:rFonts w:eastAsia="Times New Roman"/>
                <w:szCs w:val="24"/>
                <w:lang w:eastAsia="fr-FR"/>
              </w:rPr>
              <w:t>Augmentation des dettes financières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7F0D7F" w:rsidRPr="007F0D7F" w:rsidTr="007F0D7F">
        <w:trPr>
          <w:trHeight w:val="190"/>
          <w:jc w:val="center"/>
        </w:trPr>
        <w:tc>
          <w:tcPr>
            <w:tcW w:w="6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F0D7F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6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F0D7F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7F0D7F" w:rsidRPr="007F0D7F" w:rsidTr="007F0D7F">
        <w:trPr>
          <w:trHeight w:val="315"/>
          <w:jc w:val="center"/>
        </w:trPr>
        <w:tc>
          <w:tcPr>
            <w:tcW w:w="6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7F0D7F" w:rsidRPr="007F0D7F" w:rsidRDefault="007F0D7F" w:rsidP="007F0D7F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F0D7F">
              <w:rPr>
                <w:rFonts w:eastAsia="Times New Roman"/>
                <w:b/>
                <w:bCs/>
                <w:szCs w:val="24"/>
                <w:lang w:eastAsia="fr-FR"/>
              </w:rPr>
              <w:t>Total des emplois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6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7F0D7F" w:rsidRPr="007F0D7F" w:rsidRDefault="007F0D7F" w:rsidP="007F0D7F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F0D7F">
              <w:rPr>
                <w:rFonts w:eastAsia="Times New Roman"/>
                <w:b/>
                <w:bCs/>
                <w:szCs w:val="24"/>
                <w:lang w:eastAsia="fr-FR"/>
              </w:rPr>
              <w:t>Total des ressources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7F0D7F" w:rsidRPr="007F0D7F" w:rsidTr="007F0D7F">
        <w:trPr>
          <w:trHeight w:val="617"/>
          <w:jc w:val="center"/>
        </w:trPr>
        <w:tc>
          <w:tcPr>
            <w:tcW w:w="6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</w:pPr>
            <w:r w:rsidRPr="007F0D7F"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  <w:t>Variation du fonds de roulement net global (ressource nette)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0D7F" w:rsidRPr="007F0D7F" w:rsidRDefault="007F0D7F" w:rsidP="007F0D7F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6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0D7F" w:rsidRPr="007F0D7F" w:rsidRDefault="007F0D7F" w:rsidP="007F0D7F">
            <w:pPr>
              <w:jc w:val="left"/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</w:pPr>
            <w:r w:rsidRPr="007F0D7F"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  <w:t>Variation du fonds de roulement net global (emploi net)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bottom"/>
            <w:hideMark/>
          </w:tcPr>
          <w:p w:rsidR="007F0D7F" w:rsidRPr="007F0D7F" w:rsidRDefault="007F0D7F" w:rsidP="007F0D7F">
            <w:pPr>
              <w:jc w:val="right"/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</w:pPr>
          </w:p>
        </w:tc>
      </w:tr>
      <w:tr w:rsidR="007F0D7F" w:rsidRPr="007F0D7F" w:rsidTr="007F0D7F">
        <w:trPr>
          <w:trHeight w:val="315"/>
          <w:jc w:val="center"/>
        </w:trPr>
        <w:tc>
          <w:tcPr>
            <w:tcW w:w="6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7F0D7F" w:rsidRPr="007F0D7F" w:rsidRDefault="007F0D7F" w:rsidP="007F0D7F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F0D7F">
              <w:rPr>
                <w:rFonts w:eastAsia="Times New Roman"/>
                <w:b/>
                <w:bCs/>
                <w:szCs w:val="24"/>
                <w:lang w:eastAsia="fr-FR"/>
              </w:rPr>
              <w:t>TOTAL GENERAL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6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7F0D7F" w:rsidRPr="007F0D7F" w:rsidRDefault="007F0D7F" w:rsidP="007F0D7F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F0D7F">
              <w:rPr>
                <w:rFonts w:eastAsia="Times New Roman"/>
                <w:b/>
                <w:bCs/>
                <w:szCs w:val="24"/>
                <w:lang w:eastAsia="fr-FR"/>
              </w:rPr>
              <w:t>TOTAL GENERAL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D7F" w:rsidRPr="007F0D7F" w:rsidRDefault="007F0D7F" w:rsidP="007F0D7F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</w:tbl>
    <w:p w:rsidR="007F0D7F" w:rsidRDefault="007F0D7F"/>
    <w:sectPr w:rsidR="007F0D7F" w:rsidSect="007F0D7F">
      <w:pgSz w:w="16840" w:h="11907" w:orient="landscape" w:code="9"/>
      <w:pgMar w:top="567" w:right="567" w:bottom="567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7F0D7F"/>
    <w:rsid w:val="000A02BC"/>
    <w:rsid w:val="00157E85"/>
    <w:rsid w:val="00170809"/>
    <w:rsid w:val="001839AB"/>
    <w:rsid w:val="00207DBA"/>
    <w:rsid w:val="00272EB8"/>
    <w:rsid w:val="003C1285"/>
    <w:rsid w:val="00502490"/>
    <w:rsid w:val="00547D11"/>
    <w:rsid w:val="0055462A"/>
    <w:rsid w:val="005827A2"/>
    <w:rsid w:val="005D7BA3"/>
    <w:rsid w:val="007F0D7F"/>
    <w:rsid w:val="008048B5"/>
    <w:rsid w:val="00877B1E"/>
    <w:rsid w:val="008F062A"/>
    <w:rsid w:val="009A4FDC"/>
    <w:rsid w:val="009C7065"/>
    <w:rsid w:val="009D74FF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3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2</cp:revision>
  <dcterms:created xsi:type="dcterms:W3CDTF">2010-04-13T19:08:00Z</dcterms:created>
  <dcterms:modified xsi:type="dcterms:W3CDTF">2010-04-13T19:11:00Z</dcterms:modified>
</cp:coreProperties>
</file>