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E60CF0"/>
    <w:p w:rsidR="00E60CF0" w:rsidRDefault="00E60CF0" w:rsidP="00E60CF0"/>
    <w:tbl>
      <w:tblPr>
        <w:tblW w:w="14571" w:type="dxa"/>
        <w:jc w:val="center"/>
        <w:tblCellMar>
          <w:left w:w="70" w:type="dxa"/>
          <w:right w:w="70" w:type="dxa"/>
        </w:tblCellMar>
        <w:tblLook w:val="04A0"/>
      </w:tblPr>
      <w:tblGrid>
        <w:gridCol w:w="5908"/>
        <w:gridCol w:w="1361"/>
        <w:gridCol w:w="6026"/>
        <w:gridCol w:w="1276"/>
      </w:tblGrid>
      <w:tr w:rsidR="00E60CF0" w:rsidRPr="00E60CF0" w:rsidTr="00BF133B">
        <w:trPr>
          <w:trHeight w:val="326"/>
          <w:jc w:val="center"/>
        </w:trPr>
        <w:tc>
          <w:tcPr>
            <w:tcW w:w="145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E60CF0" w:rsidRPr="00E60CF0" w:rsidRDefault="00E60CF0" w:rsidP="00BF133B">
            <w:pPr>
              <w:jc w:val="center"/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color w:val="0000FF"/>
                <w:szCs w:val="24"/>
                <w:lang w:eastAsia="fr-FR"/>
              </w:rPr>
              <w:t>Entreprise LOUVOIS - Tableau de financement (Partie I)</w:t>
            </w:r>
          </w:p>
        </w:tc>
      </w:tr>
      <w:tr w:rsidR="00E60CF0" w:rsidRPr="00E60CF0" w:rsidTr="00BF133B">
        <w:trPr>
          <w:trHeight w:val="32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60CF0" w:rsidRPr="00E60CF0" w:rsidRDefault="00E60CF0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EMPLOIS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60CF0" w:rsidRPr="00E60CF0" w:rsidRDefault="00E60CF0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60CF0" w:rsidRPr="00E60CF0" w:rsidRDefault="00E60CF0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RESSOURCES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E60CF0" w:rsidRPr="00E60CF0" w:rsidRDefault="00E60CF0" w:rsidP="00BF133B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Montants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Distributions mises en paiement au cours de l'exercice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Capacité d'autofinancement de l'exercice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Acquisitions d'éléments de l'actif immobilisé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Cessions ou réductions d'éléments de l'actif immobilisé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Immobilisations incorporelles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Cessions d'immobilisations 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Immobilisations corporelles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 xml:space="preserve"> - incorporelles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Immobilisations financières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 xml:space="preserve"> - corporelles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Cessions ou réductions d'immobilisations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Charges à répartir sur plusieurs exercices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financières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Réductions des capitaux propres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Augmentation des capitaux propres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Augmentation de capital ou apports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Augmentation des autres capitaux propres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12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Remboursements des dettes financières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Augmentation des dettes financières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19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E60CF0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2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E60CF0" w:rsidRPr="00E60CF0" w:rsidRDefault="00E60CF0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Total des emplois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E60CF0" w:rsidRPr="00E60CF0" w:rsidRDefault="00E60CF0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Total des ressources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790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(ressource nette)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vAlign w:val="center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color w:val="FF0000"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i/>
                <w:iCs/>
                <w:szCs w:val="24"/>
                <w:lang w:eastAsia="fr-FR"/>
              </w:rPr>
              <w:t>Variation du fonds de roulement net global (emploi net)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  <w:tr w:rsidR="00E60CF0" w:rsidRPr="00E60CF0" w:rsidTr="00BF133B">
        <w:trPr>
          <w:trHeight w:val="326"/>
          <w:jc w:val="center"/>
        </w:trPr>
        <w:tc>
          <w:tcPr>
            <w:tcW w:w="5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E60CF0" w:rsidRPr="00E60CF0" w:rsidRDefault="00E60CF0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  <w:tc>
          <w:tcPr>
            <w:tcW w:w="6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E60CF0" w:rsidRPr="00E60CF0" w:rsidRDefault="00E60CF0" w:rsidP="00BF133B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TOTAL GENERAL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0CF0" w:rsidRPr="00E60CF0" w:rsidRDefault="00E60CF0" w:rsidP="00BF133B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E60CF0">
              <w:rPr>
                <w:rFonts w:eastAsia="Times New Roman"/>
                <w:b/>
                <w:bCs/>
                <w:szCs w:val="24"/>
                <w:lang w:eastAsia="fr-FR"/>
              </w:rPr>
              <w:t> </w:t>
            </w:r>
          </w:p>
        </w:tc>
      </w:tr>
    </w:tbl>
    <w:p w:rsidR="00E60CF0" w:rsidRDefault="00E60CF0" w:rsidP="00E60CF0"/>
    <w:p w:rsidR="00E60CF0" w:rsidRPr="00E60CF0" w:rsidRDefault="00E60CF0" w:rsidP="00E60CF0"/>
    <w:sectPr w:rsidR="00E60CF0" w:rsidRPr="00E60CF0" w:rsidSect="00E60CF0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E60CF0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60CF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2010-04-13T07:01:00Z</dcterms:created>
  <dcterms:modified xsi:type="dcterms:W3CDTF">2010-04-13T07:02:00Z</dcterms:modified>
</cp:coreProperties>
</file>