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20" w:type="dxa"/>
        <w:jc w:val="center"/>
        <w:tblCellMar>
          <w:left w:w="70" w:type="dxa"/>
          <w:right w:w="70" w:type="dxa"/>
        </w:tblCellMar>
        <w:tblLook w:val="04A0"/>
      </w:tblPr>
      <w:tblGrid>
        <w:gridCol w:w="2565"/>
        <w:gridCol w:w="1584"/>
        <w:gridCol w:w="2387"/>
        <w:gridCol w:w="709"/>
        <w:gridCol w:w="1984"/>
        <w:gridCol w:w="1791"/>
        <w:gridCol w:w="200"/>
      </w:tblGrid>
      <w:tr w:rsidR="003C2256" w:rsidRPr="003C2256" w:rsidTr="003C2256">
        <w:trPr>
          <w:trHeight w:val="330"/>
          <w:jc w:val="center"/>
        </w:trPr>
        <w:tc>
          <w:tcPr>
            <w:tcW w:w="112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3C2256" w:rsidRPr="003C2256" w:rsidRDefault="003C2256" w:rsidP="003C2256">
            <w:pPr>
              <w:jc w:val="center"/>
              <w:rPr>
                <w:rFonts w:eastAsia="Times New Roman"/>
                <w:b/>
                <w:bCs/>
                <w:color w:val="0070C0"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color w:val="0070C0"/>
                <w:szCs w:val="24"/>
                <w:lang w:eastAsia="fr-FR"/>
              </w:rPr>
              <w:t>SARL LA BREE - Variation de la trésorerie d'exploitation</w:t>
            </w:r>
          </w:p>
        </w:tc>
      </w:tr>
      <w:tr w:rsidR="003C2256" w:rsidRPr="003C2256" w:rsidTr="003C2256">
        <w:trPr>
          <w:trHeight w:val="330"/>
          <w:jc w:val="center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szCs w:val="24"/>
                <w:lang w:eastAsia="fr-FR"/>
              </w:rPr>
            </w:pPr>
          </w:p>
        </w:tc>
      </w:tr>
      <w:tr w:rsidR="003C2256" w:rsidRPr="003C2256" w:rsidTr="003C2256">
        <w:trPr>
          <w:trHeight w:val="330"/>
          <w:jc w:val="center"/>
        </w:trPr>
        <w:tc>
          <w:tcPr>
            <w:tcW w:w="112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bottom"/>
            <w:hideMark/>
          </w:tcPr>
          <w:p w:rsidR="003C2256" w:rsidRPr="003C2256" w:rsidRDefault="003C2256" w:rsidP="003C225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Calcul de l'Excédent de Trésorerie d'Exploitation (ETE) (Solution 1)</w:t>
            </w:r>
          </w:p>
        </w:tc>
      </w:tr>
      <w:tr w:rsidR="003C2256" w:rsidRPr="003C2256" w:rsidTr="003C2256">
        <w:trPr>
          <w:trHeight w:val="315"/>
          <w:jc w:val="center"/>
        </w:trPr>
        <w:tc>
          <w:tcPr>
            <w:tcW w:w="25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ETE   =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EBE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-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 xml:space="preserve"> Variation BFRE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3C2256" w:rsidRPr="003C2256" w:rsidTr="003C2256">
        <w:trPr>
          <w:trHeight w:val="330"/>
          <w:jc w:val="center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-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=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3C2256" w:rsidRPr="003C2256" w:rsidTr="003C2256">
        <w:trPr>
          <w:trHeight w:val="330"/>
          <w:jc w:val="center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</w:tr>
      <w:tr w:rsidR="003C2256" w:rsidRPr="003C2256" w:rsidTr="003C2256">
        <w:trPr>
          <w:trHeight w:val="330"/>
          <w:jc w:val="center"/>
        </w:trPr>
        <w:tc>
          <w:tcPr>
            <w:tcW w:w="1122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7E4BC"/>
            <w:noWrap/>
            <w:vAlign w:val="bottom"/>
            <w:hideMark/>
          </w:tcPr>
          <w:p w:rsidR="003C2256" w:rsidRPr="003C2256" w:rsidRDefault="003C2256" w:rsidP="003C225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Vérification : ETE = Encaissements - Décaissements (Solution 2)</w:t>
            </w:r>
          </w:p>
        </w:tc>
      </w:tr>
      <w:tr w:rsidR="003C2256" w:rsidRPr="003C2256" w:rsidTr="003C2256">
        <w:trPr>
          <w:trHeight w:val="315"/>
          <w:jc w:val="center"/>
        </w:trPr>
        <w:tc>
          <w:tcPr>
            <w:tcW w:w="414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C2256">
              <w:rPr>
                <w:rFonts w:eastAsia="Times New Roman"/>
                <w:szCs w:val="24"/>
                <w:lang w:eastAsia="fr-FR"/>
              </w:rPr>
              <w:t>Créances clients au début de l'exercice</w:t>
            </w:r>
          </w:p>
        </w:tc>
        <w:tc>
          <w:tcPr>
            <w:tcW w:w="309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C2256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7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C2256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3C2256" w:rsidRPr="003C2256" w:rsidTr="003C2256">
        <w:trPr>
          <w:trHeight w:val="315"/>
          <w:jc w:val="center"/>
        </w:trPr>
        <w:tc>
          <w:tcPr>
            <w:tcW w:w="414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C2256">
              <w:rPr>
                <w:rFonts w:eastAsia="Times New Roman"/>
                <w:szCs w:val="24"/>
                <w:lang w:eastAsia="fr-FR"/>
              </w:rPr>
              <w:t>Ventes de la période TTC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C2256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C2256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3C2256" w:rsidRPr="003C2256" w:rsidTr="003C2256">
        <w:trPr>
          <w:trHeight w:val="330"/>
          <w:jc w:val="center"/>
        </w:trPr>
        <w:tc>
          <w:tcPr>
            <w:tcW w:w="414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C2256">
              <w:rPr>
                <w:rFonts w:eastAsia="Times New Roman"/>
                <w:szCs w:val="24"/>
                <w:lang w:eastAsia="fr-FR"/>
              </w:rPr>
              <w:t>Créances clients en fin de période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C2256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C2256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3C2256" w:rsidRPr="003C2256" w:rsidTr="003C2256">
        <w:trPr>
          <w:trHeight w:val="330"/>
          <w:jc w:val="center"/>
        </w:trPr>
        <w:tc>
          <w:tcPr>
            <w:tcW w:w="256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C2256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309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Encaissements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3C2256" w:rsidRPr="003C2256" w:rsidTr="003C2256">
        <w:trPr>
          <w:trHeight w:val="315"/>
          <w:jc w:val="center"/>
        </w:trPr>
        <w:tc>
          <w:tcPr>
            <w:tcW w:w="414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C2256">
              <w:rPr>
                <w:rFonts w:eastAsia="Times New Roman"/>
                <w:szCs w:val="24"/>
                <w:lang w:eastAsia="fr-FR"/>
              </w:rPr>
              <w:t>Dettes d'exploitation au début de l'exercice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C2256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C2256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3C2256" w:rsidRPr="003C2256" w:rsidTr="003C2256">
        <w:trPr>
          <w:trHeight w:val="315"/>
          <w:jc w:val="center"/>
        </w:trPr>
        <w:tc>
          <w:tcPr>
            <w:tcW w:w="414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C2256">
              <w:rPr>
                <w:rFonts w:eastAsia="Times New Roman"/>
                <w:szCs w:val="24"/>
                <w:lang w:eastAsia="fr-FR"/>
              </w:rPr>
              <w:t>Achats de la période TTC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C2256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C2256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3C2256" w:rsidRPr="003C2256" w:rsidTr="003C2256">
        <w:trPr>
          <w:trHeight w:val="315"/>
          <w:jc w:val="center"/>
        </w:trPr>
        <w:tc>
          <w:tcPr>
            <w:tcW w:w="414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C2256">
              <w:rPr>
                <w:rFonts w:eastAsia="Times New Roman"/>
                <w:szCs w:val="24"/>
                <w:lang w:eastAsia="fr-FR"/>
              </w:rPr>
              <w:t>Services extérieurs décaissés TTC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C2256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C2256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3C2256" w:rsidRPr="003C2256" w:rsidTr="003C2256">
        <w:trPr>
          <w:trHeight w:val="315"/>
          <w:jc w:val="center"/>
        </w:trPr>
        <w:tc>
          <w:tcPr>
            <w:tcW w:w="414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C2256">
              <w:rPr>
                <w:rFonts w:eastAsia="Times New Roman"/>
                <w:szCs w:val="24"/>
                <w:lang w:eastAsia="fr-FR"/>
              </w:rPr>
              <w:t>Charges de personnel décaissées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C2256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C2256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3C2256" w:rsidRPr="003C2256" w:rsidTr="003C2256">
        <w:trPr>
          <w:trHeight w:val="315"/>
          <w:jc w:val="center"/>
        </w:trPr>
        <w:tc>
          <w:tcPr>
            <w:tcW w:w="7245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center"/>
              <w:rPr>
                <w:rFonts w:eastAsia="Times New Roman"/>
                <w:i/>
                <w:iCs/>
                <w:szCs w:val="24"/>
                <w:lang w:eastAsia="fr-FR"/>
              </w:rPr>
            </w:pPr>
            <w:r w:rsidRPr="003C2256">
              <w:rPr>
                <w:rFonts w:eastAsia="Times New Roman"/>
                <w:i/>
                <w:iCs/>
                <w:szCs w:val="24"/>
                <w:lang w:eastAsia="fr-FR"/>
              </w:rPr>
              <w:t>TVA décaissée = TVA Collectée - TVA déductible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C2256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C2256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3C2256" w:rsidRPr="003C2256" w:rsidTr="003C2256">
        <w:trPr>
          <w:trHeight w:val="330"/>
          <w:jc w:val="center"/>
        </w:trPr>
        <w:tc>
          <w:tcPr>
            <w:tcW w:w="414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C2256">
              <w:rPr>
                <w:rFonts w:eastAsia="Times New Roman"/>
                <w:szCs w:val="24"/>
                <w:lang w:eastAsia="fr-FR"/>
              </w:rPr>
              <w:t>Dettes d'exploitation à la fin de l'exercice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C2256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C2256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3C2256" w:rsidRPr="003C2256" w:rsidTr="003C2256">
        <w:trPr>
          <w:trHeight w:val="330"/>
          <w:jc w:val="center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3C2256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30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Décaissements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3C2256" w:rsidRPr="003C2256" w:rsidTr="003C2256">
        <w:trPr>
          <w:trHeight w:val="238"/>
          <w:jc w:val="center"/>
        </w:trPr>
        <w:tc>
          <w:tcPr>
            <w:tcW w:w="724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noWrap/>
            <w:vAlign w:val="bottom"/>
            <w:hideMark/>
          </w:tcPr>
          <w:p w:rsidR="003C2256" w:rsidRPr="003C2256" w:rsidRDefault="003C2256" w:rsidP="003C225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Excédent de Trésorerie d'Exploitation (ETE)</w:t>
            </w:r>
          </w:p>
        </w:tc>
        <w:tc>
          <w:tcPr>
            <w:tcW w:w="377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3C2256" w:rsidRPr="003C2256" w:rsidRDefault="003C2256" w:rsidP="003C2256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3C2256" w:rsidRPr="003C2256" w:rsidRDefault="003C2256" w:rsidP="003C2256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3C2256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</w:tbl>
    <w:p w:rsidR="003C2256" w:rsidRPr="003C2256" w:rsidRDefault="003C2256" w:rsidP="003C2256"/>
    <w:sectPr w:rsidR="003C2256" w:rsidRPr="003C2256" w:rsidSect="003C2256">
      <w:pgSz w:w="16840" w:h="11907" w:orient="landscape" w:code="9"/>
      <w:pgMar w:top="1134" w:right="851" w:bottom="1134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3C2256"/>
    <w:rsid w:val="000A02BC"/>
    <w:rsid w:val="00157E85"/>
    <w:rsid w:val="00170809"/>
    <w:rsid w:val="00207DBA"/>
    <w:rsid w:val="00272EB8"/>
    <w:rsid w:val="003C1285"/>
    <w:rsid w:val="003C2256"/>
    <w:rsid w:val="00502490"/>
    <w:rsid w:val="00547D11"/>
    <w:rsid w:val="0055462A"/>
    <w:rsid w:val="005827A2"/>
    <w:rsid w:val="005D7BA3"/>
    <w:rsid w:val="00710249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644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2010-04-04T09:47:00Z</dcterms:created>
  <dcterms:modified xsi:type="dcterms:W3CDTF">2010-04-04T09:51:00Z</dcterms:modified>
</cp:coreProperties>
</file>