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 w:rsidP="00C72871"/>
    <w:p w:rsidR="00C72871" w:rsidRDefault="00C72871" w:rsidP="00C72871"/>
    <w:tbl>
      <w:tblPr>
        <w:tblW w:w="7780" w:type="dxa"/>
        <w:jc w:val="center"/>
        <w:tblCellMar>
          <w:left w:w="70" w:type="dxa"/>
          <w:right w:w="70" w:type="dxa"/>
        </w:tblCellMar>
        <w:tblLook w:val="04A0"/>
      </w:tblPr>
      <w:tblGrid>
        <w:gridCol w:w="1140"/>
        <w:gridCol w:w="1660"/>
        <w:gridCol w:w="1660"/>
        <w:gridCol w:w="1660"/>
        <w:gridCol w:w="1660"/>
      </w:tblGrid>
      <w:tr w:rsidR="00C72871" w:rsidRPr="00C72871" w:rsidTr="00C72871">
        <w:trPr>
          <w:trHeight w:val="330"/>
          <w:jc w:val="center"/>
        </w:trPr>
        <w:tc>
          <w:tcPr>
            <w:tcW w:w="7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color w:val="0070C0"/>
                <w:szCs w:val="24"/>
                <w:lang w:eastAsia="fr-FR"/>
              </w:rPr>
              <w:t>BARIERES SA - Balance des comptes (en milliers d'euros)</w:t>
            </w:r>
          </w:p>
        </w:tc>
      </w:tr>
      <w:tr w:rsidR="00C72871" w:rsidRPr="00C72871" w:rsidTr="00C72871">
        <w:trPr>
          <w:trHeight w:val="345"/>
          <w:jc w:val="center"/>
        </w:trPr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Numéros de comptes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N</w:t>
            </w:r>
          </w:p>
        </w:tc>
        <w:tc>
          <w:tcPr>
            <w:tcW w:w="33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N-1</w:t>
            </w:r>
          </w:p>
        </w:tc>
      </w:tr>
      <w:tr w:rsidR="00C72871" w:rsidRPr="00C72871" w:rsidTr="00C72871">
        <w:trPr>
          <w:trHeight w:val="645"/>
          <w:jc w:val="center"/>
        </w:trPr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b/>
                <w:bCs/>
                <w:szCs w:val="24"/>
                <w:lang w:eastAsia="fr-FR"/>
              </w:rPr>
            </w:pP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Soldes débiteurs</w:t>
            </w:r>
          </w:p>
        </w:tc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Soldes créditeurs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Soldes débiteurs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Soldes créditeurs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2 275.00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1 400.00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87.50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1061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54.60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44.10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1063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211.40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176.40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3.50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120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315.00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210.00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61.30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91.00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164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770.00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480.00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205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24.50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213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595.00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542.50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2154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586.00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350.00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218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805.00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700.00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271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341.50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315.00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2971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45.50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35.00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274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87.50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70.00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2805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12.20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2811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0.00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2813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253.80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218.80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2815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140.00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105.00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2818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353.50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332.50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973.00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931.00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397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45.50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401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986.00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1 123.50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404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47.50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26.50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409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60.00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411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1 995.00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1 225.00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491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39.20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43.80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419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50.00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60.00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44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99.00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127.00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4676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175.00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210.00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4677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55.00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91.50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486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12.00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487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52.00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9.00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503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100.00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62.50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512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103.00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16.30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519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35.00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lef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szCs w:val="24"/>
                <w:lang w:eastAsia="fr-FR"/>
              </w:rPr>
            </w:pPr>
            <w:r w:rsidRPr="00C72871">
              <w:rPr>
                <w:rFonts w:eastAsia="Times New Roman"/>
                <w:szCs w:val="24"/>
                <w:lang w:eastAsia="fr-FR"/>
              </w:rPr>
              <w:t>10.00</w:t>
            </w:r>
          </w:p>
        </w:tc>
      </w:tr>
      <w:tr w:rsidR="00C72871" w:rsidRPr="00C72871" w:rsidTr="00C72871">
        <w:trPr>
          <w:trHeight w:val="300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C72871" w:rsidRPr="00C72871" w:rsidRDefault="00C72871" w:rsidP="00623A32">
            <w:pPr>
              <w:jc w:val="center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Totaux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6 003.00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b/>
                <w:bCs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szCs w:val="24"/>
                <w:lang w:eastAsia="fr-FR"/>
              </w:rPr>
              <w:t>6 003.00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4 620.80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C72871" w:rsidRPr="00C72871" w:rsidRDefault="00C72871" w:rsidP="00623A32">
            <w:pPr>
              <w:jc w:val="right"/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</w:pPr>
            <w:r w:rsidRPr="00C72871">
              <w:rPr>
                <w:rFonts w:eastAsia="Times New Roman"/>
                <w:b/>
                <w:bCs/>
                <w:color w:val="000000"/>
                <w:szCs w:val="24"/>
                <w:lang w:eastAsia="fr-FR"/>
              </w:rPr>
              <w:t>4 620.80</w:t>
            </w:r>
          </w:p>
        </w:tc>
      </w:tr>
    </w:tbl>
    <w:p w:rsidR="00C72871" w:rsidRDefault="00C72871" w:rsidP="00C72871"/>
    <w:p w:rsidR="00C72871" w:rsidRPr="00C72871" w:rsidRDefault="00C72871" w:rsidP="00C72871"/>
    <w:sectPr w:rsidR="00C72871" w:rsidRPr="00C72871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72871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72871"/>
    <w:rsid w:val="00CE1B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2010-03-31T21:03:00Z</dcterms:created>
  <dcterms:modified xsi:type="dcterms:W3CDTF">2010-03-31T21:04:00Z</dcterms:modified>
</cp:coreProperties>
</file>