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D95952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DOCUMENT 3</w:t>
      </w:r>
    </w:p>
    <w:p w:rsidR="0012142A" w:rsidRPr="00D91891" w:rsidRDefault="0012142A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12142A" w:rsidRPr="00D91891" w:rsidTr="003D70A0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12142A" w:rsidRPr="00D91891" w:rsidRDefault="009A5845" w:rsidP="002F71A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D91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relatives à </w:t>
            </w:r>
            <w:r w:rsidRPr="00D91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l’activité industrielle</w:t>
            </w:r>
          </w:p>
        </w:tc>
      </w:tr>
      <w:tr w:rsidR="005E3907" w:rsidRPr="00D91891" w:rsidTr="005E3907">
        <w:trPr>
          <w:trHeight w:val="35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1C8C" w:rsidRPr="00591C8C" w:rsidRDefault="00591C8C" w:rsidP="00074AB1">
            <w:pPr>
              <w:pStyle w:val="Paragraphedeliste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Production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: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La production est réalisée sur 12 mois d’une manière régulière.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L’entreprise ne ferme pas au mois d’août.</w:t>
            </w:r>
          </w:p>
          <w:p w:rsidR="00591C8C" w:rsidRPr="00591C8C" w:rsidRDefault="00591C8C" w:rsidP="00074AB1">
            <w:pPr>
              <w:pStyle w:val="Paragraphedeliste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Approvisionnements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: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Le taux de marge commerciale est de 30 % du prix de vente HT.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Les achats prévisionnels sont effectués selon les prévisions de ventes mais deux mois au préalable.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Les paiements des fournisseurs s’effectuent  à  30 jours soit le mois suivant celui de l’achat.</w:t>
            </w:r>
          </w:p>
          <w:p w:rsidR="00591C8C" w:rsidRPr="00591C8C" w:rsidRDefault="00591C8C" w:rsidP="00074AB1">
            <w:pPr>
              <w:pStyle w:val="Paragraphedeliste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Charges de personnel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: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Les rémunérations brutes s’élèvent à 50 000 € par mois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Les charges sociales retenues sont évaluées à 20 % des salaires bruts.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Les charges sociales de l’employeur correspondent à 40 % des salaires bruts.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La totalité des charges sociales est versée aux différents organismes collecteurs au cours du mois suivant.</w:t>
            </w:r>
          </w:p>
          <w:p w:rsidR="00591C8C" w:rsidRPr="00591C8C" w:rsidRDefault="00591C8C" w:rsidP="00074AB1">
            <w:pPr>
              <w:pStyle w:val="Paragraphedeliste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Charges externes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: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Les autres charges mensuelles partiellement soumises à </w:t>
            </w:r>
            <w:smartTag w:uri="urn:schemas-microsoft-com:office:smarttags" w:element="PersonName">
              <w:smartTagPr>
                <w:attr w:name="ProductID" w:val="la TVA"/>
              </w:smartTagPr>
              <w:r w:rsidRPr="00591C8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la TVA</w:t>
              </w:r>
            </w:smartTag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sont de 15 000 € HT.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 taux de </w:t>
            </w:r>
            <w:smartTag w:uri="urn:schemas-microsoft-com:office:smarttags" w:element="PersonName">
              <w:smartTagPr>
                <w:attr w:name="ProductID" w:val="la TVA"/>
              </w:smartTagPr>
              <w:r w:rsidRPr="00591C8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la TVA</w:t>
              </w:r>
            </w:smartTag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sur des charges est en moyenne de 12 %.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Ces charges sont payées 50 % au comptant et le reste à 30 jours.</w:t>
            </w:r>
          </w:p>
          <w:p w:rsidR="00591C8C" w:rsidRPr="00591C8C" w:rsidRDefault="00591C8C" w:rsidP="00074AB1">
            <w:pPr>
              <w:pStyle w:val="Paragraphedeliste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Autres informations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: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Des impôts doivent être payés en mars pour 700 €</w:t>
            </w:r>
          </w:p>
          <w:p w:rsidR="00591C8C" w:rsidRPr="00591C8C" w:rsidRDefault="00591C8C" w:rsidP="00591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Les immobilisations incorporelles sont amortissables sur 5 ans.</w:t>
            </w:r>
          </w:p>
          <w:p w:rsidR="005E3907" w:rsidRPr="00591C8C" w:rsidRDefault="00591C8C" w:rsidP="00591C8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C8C">
              <w:rPr>
                <w:rFonts w:ascii="Times New Roman" w:hAnsi="Times New Roman" w:cs="Times New Roman"/>
                <w:bCs/>
                <w:sz w:val="24"/>
                <w:szCs w:val="24"/>
              </w:rPr>
              <w:t>Les immobilisations corporelles sont amorties en mode linéaire sur 10 ans.</w:t>
            </w:r>
          </w:p>
        </w:tc>
      </w:tr>
    </w:tbl>
    <w:p w:rsidR="0089341F" w:rsidRDefault="0089341F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68E" w:rsidRPr="00D91891" w:rsidRDefault="0007268E" w:rsidP="0089341F">
      <w:pPr>
        <w:pStyle w:val="Titre1"/>
        <w:rPr>
          <w:rFonts w:eastAsia="Calibri"/>
          <w:b w:val="0"/>
          <w:bCs/>
        </w:rPr>
      </w:pPr>
    </w:p>
    <w:sectPr w:rsidR="0007268E" w:rsidRPr="00D91891" w:rsidSect="0089341F">
      <w:footerReference w:type="default" r:id="rId8"/>
      <w:pgSz w:w="11906" w:h="16838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44C" w:rsidRDefault="0097544C" w:rsidP="00E96B39">
      <w:pPr>
        <w:spacing w:after="0" w:line="240" w:lineRule="auto"/>
      </w:pPr>
      <w:r>
        <w:separator/>
      </w:r>
    </w:p>
  </w:endnote>
  <w:endnote w:type="continuationSeparator" w:id="0">
    <w:p w:rsidR="0097544C" w:rsidRDefault="0097544C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44C" w:rsidRDefault="0097544C" w:rsidP="00E96B39">
      <w:pPr>
        <w:spacing w:after="0" w:line="240" w:lineRule="auto"/>
      </w:pPr>
      <w:r>
        <w:separator/>
      </w:r>
    </w:p>
  </w:footnote>
  <w:footnote w:type="continuationSeparator" w:id="0">
    <w:p w:rsidR="0097544C" w:rsidRDefault="0097544C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436B0"/>
    <w:rsid w:val="003438E1"/>
    <w:rsid w:val="00346D66"/>
    <w:rsid w:val="00350034"/>
    <w:rsid w:val="003509E3"/>
    <w:rsid w:val="00352BDE"/>
    <w:rsid w:val="00373BB8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42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84E2D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5FD3"/>
    <w:rsid w:val="00870EE5"/>
    <w:rsid w:val="00890118"/>
    <w:rsid w:val="00892B7D"/>
    <w:rsid w:val="0089341F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7544C"/>
    <w:rsid w:val="009A5845"/>
    <w:rsid w:val="009A6CB8"/>
    <w:rsid w:val="009B07A3"/>
    <w:rsid w:val="009B7306"/>
    <w:rsid w:val="009B7967"/>
    <w:rsid w:val="009C0B16"/>
    <w:rsid w:val="009C647A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E31A8"/>
    <w:rsid w:val="00AE4E1E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95952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6076-A850-4720-A580-EAEA669C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2013-02-19T17:46:00Z</dcterms:created>
  <dcterms:modified xsi:type="dcterms:W3CDTF">2013-02-19T18:04:00Z</dcterms:modified>
</cp:coreProperties>
</file>