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Pr="00D62061" w:rsidRDefault="006D4909" w:rsidP="00875E29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8B63E4" w:rsidRPr="00D62061" w:rsidRDefault="008B63E4" w:rsidP="008B63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67865">
        <w:rPr>
          <w:rFonts w:ascii="Times New Roman" w:hAnsi="Times New Roman" w:cs="Times New Roman"/>
          <w:b/>
          <w:color w:val="FF0000"/>
          <w:sz w:val="24"/>
          <w:szCs w:val="24"/>
        </w:rPr>
        <w:t>FRAMBOISE</w:t>
      </w:r>
    </w:p>
    <w:p w:rsidR="009322B3" w:rsidRPr="009322B3" w:rsidRDefault="009322B3" w:rsidP="00875E29">
      <w:pPr>
        <w:spacing w:before="120"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2B3">
        <w:rPr>
          <w:rFonts w:ascii="Times New Roman" w:hAnsi="Times New Roman" w:cs="Times New Roman"/>
          <w:b/>
          <w:sz w:val="24"/>
          <w:szCs w:val="24"/>
        </w:rPr>
        <w:t xml:space="preserve">DOCUMENT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9779"/>
      </w:tblGrid>
      <w:tr w:rsidR="00567865" w:rsidRPr="00CA0781" w:rsidTr="00567865">
        <w:tc>
          <w:tcPr>
            <w:tcW w:w="9779" w:type="dxa"/>
            <w:shd w:val="clear" w:color="auto" w:fill="D99594"/>
          </w:tcPr>
          <w:p w:rsidR="00567865" w:rsidRPr="00567865" w:rsidRDefault="00567865" w:rsidP="00453B4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Informations commerciales et financières – Première partie</w:t>
            </w:r>
          </w:p>
        </w:tc>
      </w:tr>
      <w:tr w:rsidR="00567865" w:rsidRPr="00CA0781" w:rsidTr="00567865">
        <w:tc>
          <w:tcPr>
            <w:tcW w:w="9779" w:type="dxa"/>
          </w:tcPr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1°) Les ventes de produits prévues pour le semestre sont les suivantes :</w:t>
            </w:r>
          </w:p>
          <w:tbl>
            <w:tblPr>
              <w:tblW w:w="9095" w:type="dxa"/>
              <w:jc w:val="center"/>
              <w:tblLook w:val="04A0"/>
            </w:tblPr>
            <w:tblGrid>
              <w:gridCol w:w="2784"/>
              <w:gridCol w:w="1896"/>
              <w:gridCol w:w="2449"/>
              <w:gridCol w:w="1966"/>
            </w:tblGrid>
            <w:tr w:rsidR="00567865" w:rsidRPr="00567865" w:rsidTr="00567865">
              <w:trPr>
                <w:trHeight w:val="296"/>
                <w:jc w:val="center"/>
              </w:trPr>
              <w:tc>
                <w:tcPr>
                  <w:tcW w:w="2784" w:type="dxa"/>
                </w:tcPr>
                <w:p w:rsidR="00567865" w:rsidRPr="00567865" w:rsidRDefault="00567865" w:rsidP="00567865">
                  <w:pPr>
                    <w:numPr>
                      <w:ilvl w:val="0"/>
                      <w:numId w:val="20"/>
                    </w:numPr>
                    <w:spacing w:before="120"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Janvier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Février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Mars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</w:tc>
              <w:tc>
                <w:tcPr>
                  <w:tcW w:w="1896" w:type="dxa"/>
                </w:tcPr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20 000 €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30 000 €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40 000 €</w:t>
                  </w:r>
                </w:p>
              </w:tc>
              <w:tc>
                <w:tcPr>
                  <w:tcW w:w="2449" w:type="dxa"/>
                </w:tcPr>
                <w:p w:rsidR="00567865" w:rsidRPr="00567865" w:rsidRDefault="00567865" w:rsidP="00567865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Avril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Mai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Juin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</w:tc>
              <w:tc>
                <w:tcPr>
                  <w:tcW w:w="1966" w:type="dxa"/>
                </w:tcPr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50 000 €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60 000 €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70 000 €</w:t>
                  </w:r>
                </w:p>
              </w:tc>
            </w:tr>
          </w:tbl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2°) Les créances clients au 31 décembre sont encaissables par moitié en janvier puis en février N.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3°) Les règlements des clients sont réalisés ainsi :</w:t>
            </w:r>
          </w:p>
          <w:p w:rsidR="00567865" w:rsidRPr="00567865" w:rsidRDefault="00567865" w:rsidP="00567865">
            <w:pPr>
              <w:numPr>
                <w:ilvl w:val="0"/>
                <w:numId w:val="22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30 % au comptant, le mois de la vente,</w:t>
            </w:r>
          </w:p>
          <w:p w:rsidR="00567865" w:rsidRPr="00567865" w:rsidRDefault="00567865" w:rsidP="0056786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30 % à crédit à 30 jours,</w:t>
            </w:r>
          </w:p>
          <w:p w:rsidR="00567865" w:rsidRPr="00567865" w:rsidRDefault="00567865" w:rsidP="00567865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le reste à 60 jours.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4°) Les achats de matières premières HT auprès des fournisseurs sont réalisés au cours du mois  de la vente des produits. Ils représentent 40 % du prix de vente HT.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5°) Les dettes auprès des fournisseurs de matières premières dues fin décembre seront payées par quart de janvier à avril.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6°) Les dettes auprès des fournisseurs de matières premières sont payées de la manière suivante :</w:t>
            </w:r>
          </w:p>
          <w:p w:rsidR="00567865" w:rsidRPr="00567865" w:rsidRDefault="00567865" w:rsidP="00567865">
            <w:pPr>
              <w:numPr>
                <w:ilvl w:val="0"/>
                <w:numId w:val="23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40 % au comptant, le mois de l’achat,</w:t>
            </w:r>
          </w:p>
          <w:p w:rsidR="00567865" w:rsidRPr="00567865" w:rsidRDefault="00567865" w:rsidP="0056786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40 % à crédit à 30 jours,</w:t>
            </w:r>
          </w:p>
          <w:p w:rsidR="00567865" w:rsidRPr="00567865" w:rsidRDefault="00567865" w:rsidP="00567865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le solde à 60 jours.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7°) Taux  de TVA : 20 %.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8°) Les rémunérations mensuelles prévues pour le semestre sont les suivantes :</w:t>
            </w:r>
          </w:p>
          <w:tbl>
            <w:tblPr>
              <w:tblW w:w="9095" w:type="dxa"/>
              <w:jc w:val="center"/>
              <w:tblLook w:val="04A0"/>
            </w:tblPr>
            <w:tblGrid>
              <w:gridCol w:w="2784"/>
              <w:gridCol w:w="1896"/>
              <w:gridCol w:w="2449"/>
              <w:gridCol w:w="1966"/>
            </w:tblGrid>
            <w:tr w:rsidR="00567865" w:rsidRPr="00567865" w:rsidTr="00567865">
              <w:trPr>
                <w:trHeight w:val="296"/>
                <w:jc w:val="center"/>
              </w:trPr>
              <w:tc>
                <w:tcPr>
                  <w:tcW w:w="2784" w:type="dxa"/>
                </w:tcPr>
                <w:p w:rsidR="00567865" w:rsidRPr="00567865" w:rsidRDefault="00567865" w:rsidP="00567865">
                  <w:pPr>
                    <w:numPr>
                      <w:ilvl w:val="0"/>
                      <w:numId w:val="20"/>
                    </w:numPr>
                    <w:spacing w:before="120"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Janvier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Février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Mars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</w:tc>
              <w:tc>
                <w:tcPr>
                  <w:tcW w:w="1896" w:type="dxa"/>
                </w:tcPr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12 000 €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13 000 €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14 000 €</w:t>
                  </w:r>
                </w:p>
              </w:tc>
              <w:tc>
                <w:tcPr>
                  <w:tcW w:w="2449" w:type="dxa"/>
                </w:tcPr>
                <w:p w:rsidR="00567865" w:rsidRPr="00567865" w:rsidRDefault="00567865" w:rsidP="00567865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Avril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Mai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  <w:p w:rsidR="00567865" w:rsidRPr="00567865" w:rsidRDefault="00567865" w:rsidP="00567865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357" w:hanging="357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Juin</w:t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</w: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ab/>
                    <w:t>:</w:t>
                  </w:r>
                </w:p>
              </w:tc>
              <w:tc>
                <w:tcPr>
                  <w:tcW w:w="1966" w:type="dxa"/>
                </w:tcPr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15 000 €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16 000 €</w:t>
                  </w:r>
                </w:p>
                <w:p w:rsidR="00567865" w:rsidRPr="00567865" w:rsidRDefault="00567865" w:rsidP="0056786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</w:pPr>
                  <w:r w:rsidRPr="00567865">
                    <w:rPr>
                      <w:rFonts w:ascii="Times New Roman" w:hAnsi="Times New Roman" w:cs="Times New Roman"/>
                      <w:bCs/>
                      <w:sz w:val="23"/>
                      <w:szCs w:val="23"/>
                    </w:rPr>
                    <w:t>17 000 €</w:t>
                  </w:r>
                </w:p>
              </w:tc>
            </w:tr>
          </w:tbl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9°) Les commissions mensuelles versées au personnel commercial représentent 10% du chiffre d’affaires du mois.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10°) Les rémunérations et commissions nettes sont payées au personnel en fin de mois après déduction de 20 % de retenues sociales.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11°) Les cotisations sociales de l’employeur sont évaluées à 40 % des rémunérations et commissions brutes.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12°) Les cotisations sociales retenues et celles de l’employeur soit 60  % des rémunérations et commissions brutes sont versées aux organismes sociaux au cours du mois suivant.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13°) Parmi les dettes fiscales et sociales figurent :</w:t>
            </w:r>
          </w:p>
          <w:p w:rsidR="00567865" w:rsidRPr="00567865" w:rsidRDefault="00567865" w:rsidP="00567865">
            <w:pPr>
              <w:numPr>
                <w:ilvl w:val="0"/>
                <w:numId w:val="24"/>
              </w:num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la TVA à décaisser de décembre à payer en janvier 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  <w:t>: 4 000 €,</w:t>
            </w:r>
          </w:p>
          <w:p w:rsidR="00567865" w:rsidRPr="00567865" w:rsidRDefault="00567865" w:rsidP="00567865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les charges sociales sur salaires de décembre payables en janvier  </w:t>
            </w: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ab/>
              <w:t>: 2 000 €.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14°) Les frais d’assurances mensuels (non soumis à TVA) s’élèvent à 600 € de janvier à juin.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15°) Les frais de publicité mensuels s’élèvent à 100 € de janvier à juin.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16°) Les honoraires mensuels s’élèvent à 200 € de janvier à juin.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17°) Les loyers mensuels s’élèvent à 1 200 € de janvier à juin.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18°) Les frais de télécommunications mensuels s’élèvent à 80 € de janvier à juin.</w:t>
            </w:r>
          </w:p>
          <w:p w:rsidR="00567865" w:rsidRPr="00567865" w:rsidRDefault="00567865" w:rsidP="00567865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19°) Les frais de transports sur ventes mensuels s’élèvent à 150 € de janvier à juin.</w:t>
            </w:r>
          </w:p>
          <w:p w:rsidR="00567865" w:rsidRPr="00567865" w:rsidRDefault="00567865" w:rsidP="00567865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67865">
              <w:rPr>
                <w:rFonts w:ascii="Times New Roman" w:hAnsi="Times New Roman" w:cs="Times New Roman"/>
                <w:bCs/>
                <w:sz w:val="23"/>
                <w:szCs w:val="23"/>
              </w:rPr>
              <w:t>20°) Les frais d’énergie et de carburant mensuels s’élèvent à 300 € de janvier à mars puis à 400 € d’avril à juin.</w:t>
            </w:r>
          </w:p>
        </w:tc>
      </w:tr>
    </w:tbl>
    <w:p w:rsidR="007547B6" w:rsidRPr="00875E29" w:rsidRDefault="007547B6" w:rsidP="00453B45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sectPr w:rsidR="007547B6" w:rsidRPr="00875E29" w:rsidSect="00453B45">
      <w:footerReference w:type="default" r:id="rId8"/>
      <w:pgSz w:w="11906" w:h="16838" w:code="9"/>
      <w:pgMar w:top="284" w:right="1134" w:bottom="28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2DC" w:rsidRDefault="00EC32DC" w:rsidP="00E96B39">
      <w:pPr>
        <w:spacing w:after="0" w:line="240" w:lineRule="auto"/>
      </w:pPr>
      <w:r>
        <w:separator/>
      </w:r>
    </w:p>
  </w:endnote>
  <w:endnote w:type="continuationSeparator" w:id="0">
    <w:p w:rsidR="00EC32DC" w:rsidRDefault="00EC32DC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F146CA" w:rsidRDefault="00F146CA" w:rsidP="00CC0629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2DC" w:rsidRDefault="00EC32DC" w:rsidP="00E96B39">
      <w:pPr>
        <w:spacing w:after="0" w:line="240" w:lineRule="auto"/>
      </w:pPr>
      <w:r>
        <w:separator/>
      </w:r>
    </w:p>
  </w:footnote>
  <w:footnote w:type="continuationSeparator" w:id="0">
    <w:p w:rsidR="00EC32DC" w:rsidRDefault="00EC32DC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C16957"/>
    <w:multiLevelType w:val="hybridMultilevel"/>
    <w:tmpl w:val="D9F4F9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6810DF"/>
    <w:multiLevelType w:val="hybridMultilevel"/>
    <w:tmpl w:val="0232B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93112"/>
    <w:multiLevelType w:val="hybridMultilevel"/>
    <w:tmpl w:val="9C94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12C6C"/>
    <w:multiLevelType w:val="hybridMultilevel"/>
    <w:tmpl w:val="C3ECDA7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7A17"/>
    <w:multiLevelType w:val="hybridMultilevel"/>
    <w:tmpl w:val="47A61F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F18FA"/>
    <w:multiLevelType w:val="hybridMultilevel"/>
    <w:tmpl w:val="A90266F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E05A9"/>
    <w:multiLevelType w:val="hybridMultilevel"/>
    <w:tmpl w:val="B92C70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24155"/>
    <w:multiLevelType w:val="singleLevel"/>
    <w:tmpl w:val="5D7CC58E"/>
    <w:lvl w:ilvl="0">
      <w:start w:val="500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5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F94390C"/>
    <w:multiLevelType w:val="hybridMultilevel"/>
    <w:tmpl w:val="7442AB5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DF4C2A"/>
    <w:multiLevelType w:val="hybridMultilevel"/>
    <w:tmpl w:val="64B0152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2A030B"/>
    <w:multiLevelType w:val="hybridMultilevel"/>
    <w:tmpl w:val="B4F2189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63771AB"/>
    <w:multiLevelType w:val="hybridMultilevel"/>
    <w:tmpl w:val="1930B5A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17"/>
  </w:num>
  <w:num w:numId="4">
    <w:abstractNumId w:val="19"/>
  </w:num>
  <w:num w:numId="5">
    <w:abstractNumId w:val="20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23"/>
  </w:num>
  <w:num w:numId="12">
    <w:abstractNumId w:val="15"/>
  </w:num>
  <w:num w:numId="13">
    <w:abstractNumId w:val="21"/>
  </w:num>
  <w:num w:numId="14">
    <w:abstractNumId w:val="26"/>
  </w:num>
  <w:num w:numId="15">
    <w:abstractNumId w:val="0"/>
  </w:num>
  <w:num w:numId="16">
    <w:abstractNumId w:val="24"/>
  </w:num>
  <w:num w:numId="17">
    <w:abstractNumId w:val="10"/>
  </w:num>
  <w:num w:numId="18">
    <w:abstractNumId w:val="29"/>
  </w:num>
  <w:num w:numId="19">
    <w:abstractNumId w:val="6"/>
  </w:num>
  <w:num w:numId="20">
    <w:abstractNumId w:val="16"/>
  </w:num>
  <w:num w:numId="21">
    <w:abstractNumId w:val="8"/>
  </w:num>
  <w:num w:numId="22">
    <w:abstractNumId w:val="11"/>
  </w:num>
  <w:num w:numId="23">
    <w:abstractNumId w:val="3"/>
  </w:num>
  <w:num w:numId="24">
    <w:abstractNumId w:val="9"/>
  </w:num>
  <w:num w:numId="25">
    <w:abstractNumId w:val="25"/>
  </w:num>
  <w:num w:numId="26">
    <w:abstractNumId w:val="18"/>
  </w:num>
  <w:num w:numId="27">
    <w:abstractNumId w:val="7"/>
  </w:num>
  <w:num w:numId="28">
    <w:abstractNumId w:val="22"/>
  </w:num>
  <w:num w:numId="29">
    <w:abstractNumId w:val="14"/>
  </w:num>
  <w:num w:numId="3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34D2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0686"/>
    <w:rsid w:val="0012142A"/>
    <w:rsid w:val="0013404E"/>
    <w:rsid w:val="0013686D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1F6AF9"/>
    <w:rsid w:val="00207A5E"/>
    <w:rsid w:val="00271AEA"/>
    <w:rsid w:val="00271AF8"/>
    <w:rsid w:val="00272D44"/>
    <w:rsid w:val="00283513"/>
    <w:rsid w:val="00285C30"/>
    <w:rsid w:val="00293458"/>
    <w:rsid w:val="00297951"/>
    <w:rsid w:val="002B053F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14D"/>
    <w:rsid w:val="003A5686"/>
    <w:rsid w:val="003B0B4C"/>
    <w:rsid w:val="003C02C4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B45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53C72"/>
    <w:rsid w:val="00562D66"/>
    <w:rsid w:val="00567865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74FC1"/>
    <w:rsid w:val="00685B2F"/>
    <w:rsid w:val="006A1159"/>
    <w:rsid w:val="006B019D"/>
    <w:rsid w:val="006B1985"/>
    <w:rsid w:val="006B2D4E"/>
    <w:rsid w:val="006B4758"/>
    <w:rsid w:val="006B5A86"/>
    <w:rsid w:val="006C49EA"/>
    <w:rsid w:val="006C4D77"/>
    <w:rsid w:val="006C68CE"/>
    <w:rsid w:val="006D4909"/>
    <w:rsid w:val="006D4DAA"/>
    <w:rsid w:val="0072348D"/>
    <w:rsid w:val="007318CF"/>
    <w:rsid w:val="0073689A"/>
    <w:rsid w:val="00740597"/>
    <w:rsid w:val="007547B6"/>
    <w:rsid w:val="00755C09"/>
    <w:rsid w:val="00772C15"/>
    <w:rsid w:val="00777CC3"/>
    <w:rsid w:val="007B05FC"/>
    <w:rsid w:val="007B59C8"/>
    <w:rsid w:val="007C71A6"/>
    <w:rsid w:val="007E1AF2"/>
    <w:rsid w:val="007E23C3"/>
    <w:rsid w:val="007F74FB"/>
    <w:rsid w:val="00817A00"/>
    <w:rsid w:val="00823911"/>
    <w:rsid w:val="00826607"/>
    <w:rsid w:val="00830BAB"/>
    <w:rsid w:val="00843696"/>
    <w:rsid w:val="008456F4"/>
    <w:rsid w:val="00870EE5"/>
    <w:rsid w:val="00875E29"/>
    <w:rsid w:val="008774C7"/>
    <w:rsid w:val="00890118"/>
    <w:rsid w:val="00892385"/>
    <w:rsid w:val="00892B7D"/>
    <w:rsid w:val="00894358"/>
    <w:rsid w:val="008957E2"/>
    <w:rsid w:val="0089654C"/>
    <w:rsid w:val="008A3A0A"/>
    <w:rsid w:val="008B14C4"/>
    <w:rsid w:val="008B3ABF"/>
    <w:rsid w:val="008B43B8"/>
    <w:rsid w:val="008B63E4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322B3"/>
    <w:rsid w:val="009635EA"/>
    <w:rsid w:val="009A6CB8"/>
    <w:rsid w:val="009A6D87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42788"/>
    <w:rsid w:val="00A5741C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1164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D78C7"/>
    <w:rsid w:val="00BF5805"/>
    <w:rsid w:val="00C0049A"/>
    <w:rsid w:val="00C059F9"/>
    <w:rsid w:val="00C13C8A"/>
    <w:rsid w:val="00C258C6"/>
    <w:rsid w:val="00C3018A"/>
    <w:rsid w:val="00C36400"/>
    <w:rsid w:val="00C448A9"/>
    <w:rsid w:val="00C52823"/>
    <w:rsid w:val="00C71C21"/>
    <w:rsid w:val="00C90CFE"/>
    <w:rsid w:val="00C91B93"/>
    <w:rsid w:val="00C91BA2"/>
    <w:rsid w:val="00C9293A"/>
    <w:rsid w:val="00CB0E34"/>
    <w:rsid w:val="00CB46AF"/>
    <w:rsid w:val="00CC0629"/>
    <w:rsid w:val="00CD69B9"/>
    <w:rsid w:val="00CE410D"/>
    <w:rsid w:val="00CE687B"/>
    <w:rsid w:val="00CF0C84"/>
    <w:rsid w:val="00CF1A40"/>
    <w:rsid w:val="00CF3DCA"/>
    <w:rsid w:val="00D02CAA"/>
    <w:rsid w:val="00D12E9B"/>
    <w:rsid w:val="00D211A9"/>
    <w:rsid w:val="00D30EF1"/>
    <w:rsid w:val="00D45B9A"/>
    <w:rsid w:val="00D502AE"/>
    <w:rsid w:val="00D50CF4"/>
    <w:rsid w:val="00D50D96"/>
    <w:rsid w:val="00D62061"/>
    <w:rsid w:val="00D75593"/>
    <w:rsid w:val="00D80078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73C0"/>
    <w:rsid w:val="00E90127"/>
    <w:rsid w:val="00E92F66"/>
    <w:rsid w:val="00E96A27"/>
    <w:rsid w:val="00E96B39"/>
    <w:rsid w:val="00EC1C12"/>
    <w:rsid w:val="00EC32DC"/>
    <w:rsid w:val="00EC4C87"/>
    <w:rsid w:val="00EF033F"/>
    <w:rsid w:val="00EF0CE8"/>
    <w:rsid w:val="00F032B0"/>
    <w:rsid w:val="00F05637"/>
    <w:rsid w:val="00F146CA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3E31A-B95A-4A7F-946F-A5C9A002D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2013-02-18T17:25:00Z</dcterms:created>
  <dcterms:modified xsi:type="dcterms:W3CDTF">2013-02-18T17:34:00Z</dcterms:modified>
</cp:coreProperties>
</file>