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87" w:rsidRDefault="00BC5887" w:rsidP="00BC5887">
      <w:pPr>
        <w:jc w:val="center"/>
        <w:rPr>
          <w:b/>
        </w:rPr>
      </w:pPr>
      <w:r w:rsidRPr="00DF74EA">
        <w:rPr>
          <w:b/>
        </w:rPr>
        <w:t xml:space="preserve">EXEMPLE 03 – DOCUMENT </w:t>
      </w:r>
      <w:r>
        <w:rPr>
          <w:b/>
        </w:rPr>
        <w:t>2</w:t>
      </w:r>
    </w:p>
    <w:p w:rsidR="00BC5887" w:rsidRDefault="00BC5887" w:rsidP="00BC5887">
      <w:pPr>
        <w:jc w:val="center"/>
        <w:rPr>
          <w:b/>
        </w:rPr>
      </w:pPr>
    </w:p>
    <w:tbl>
      <w:tblPr>
        <w:tblW w:w="995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513"/>
        <w:gridCol w:w="1174"/>
        <w:gridCol w:w="1174"/>
        <w:gridCol w:w="1174"/>
        <w:gridCol w:w="2673"/>
        <w:gridCol w:w="1242"/>
      </w:tblGrid>
      <w:tr w:rsidR="00BC5887" w:rsidRPr="00D3282A" w:rsidTr="003B16EE">
        <w:trPr>
          <w:cantSplit/>
          <w:trHeight w:val="111"/>
          <w:jc w:val="center"/>
        </w:trPr>
        <w:tc>
          <w:tcPr>
            <w:tcW w:w="995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C5887" w:rsidRPr="00D3282A" w:rsidRDefault="00BC5887" w:rsidP="00E36CCA">
            <w:pPr>
              <w:pStyle w:val="para"/>
              <w:jc w:val="center"/>
              <w:rPr>
                <w:b/>
              </w:rPr>
            </w:pPr>
            <w:r>
              <w:rPr>
                <w:b/>
              </w:rPr>
              <w:t>Bilan au 31/12/N</w:t>
            </w:r>
            <w:r w:rsidRPr="00D3282A">
              <w:rPr>
                <w:b/>
              </w:rPr>
              <w:t xml:space="preserve"> (en milliers d’euros)</w:t>
            </w:r>
          </w:p>
        </w:tc>
      </w:tr>
      <w:tr w:rsidR="00BC5887" w:rsidRPr="00D3282A" w:rsidTr="003B16EE">
        <w:trPr>
          <w:cantSplit/>
          <w:trHeight w:val="117"/>
          <w:jc w:val="center"/>
        </w:trPr>
        <w:tc>
          <w:tcPr>
            <w:tcW w:w="251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BC5887" w:rsidRPr="00D3282A" w:rsidRDefault="00BC5887" w:rsidP="00E36CCA">
            <w:pPr>
              <w:pStyle w:val="para"/>
              <w:jc w:val="center"/>
              <w:rPr>
                <w:b/>
              </w:rPr>
            </w:pPr>
            <w:r w:rsidRPr="00D3282A">
              <w:rPr>
                <w:b/>
              </w:rPr>
              <w:t>Actif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BC5887" w:rsidRPr="00D3282A" w:rsidRDefault="00BC5887" w:rsidP="00E36CCA">
            <w:pPr>
              <w:pStyle w:val="para"/>
              <w:jc w:val="center"/>
              <w:rPr>
                <w:b/>
              </w:rPr>
            </w:pPr>
            <w:r w:rsidRPr="00D3282A">
              <w:rPr>
                <w:b/>
              </w:rPr>
              <w:t>Brut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BC5887" w:rsidRPr="00D3282A" w:rsidRDefault="00BC5887" w:rsidP="00E36CCA">
            <w:pPr>
              <w:pStyle w:val="para"/>
              <w:jc w:val="center"/>
              <w:rPr>
                <w:b/>
              </w:rPr>
            </w:pPr>
            <w:r w:rsidRPr="00D3282A">
              <w:rPr>
                <w:b/>
              </w:rPr>
              <w:t>A. et P.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BC5887" w:rsidRPr="00D3282A" w:rsidRDefault="00BC5887" w:rsidP="00E36CCA">
            <w:pPr>
              <w:pStyle w:val="para"/>
              <w:jc w:val="center"/>
              <w:rPr>
                <w:b/>
              </w:rPr>
            </w:pPr>
            <w:r w:rsidRPr="00D3282A">
              <w:rPr>
                <w:b/>
              </w:rPr>
              <w:t>Net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BC5887" w:rsidRPr="00D3282A" w:rsidRDefault="00BC5887" w:rsidP="00E36CCA">
            <w:pPr>
              <w:pStyle w:val="para"/>
              <w:jc w:val="center"/>
              <w:rPr>
                <w:b/>
              </w:rPr>
            </w:pPr>
            <w:r w:rsidRPr="00D3282A">
              <w:rPr>
                <w:b/>
              </w:rPr>
              <w:t>Passif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BC5887" w:rsidRPr="00D3282A" w:rsidRDefault="00BC5887" w:rsidP="00E36CCA">
            <w:pPr>
              <w:pStyle w:val="para"/>
              <w:jc w:val="center"/>
              <w:rPr>
                <w:b/>
              </w:rPr>
            </w:pPr>
            <w:r w:rsidRPr="00D3282A">
              <w:rPr>
                <w:b/>
              </w:rPr>
              <w:t>Montant</w:t>
            </w:r>
          </w:p>
        </w:tc>
      </w:tr>
      <w:tr w:rsidR="00BC5887" w:rsidRPr="008E7D8C" w:rsidTr="003B16EE">
        <w:trPr>
          <w:cantSplit/>
          <w:trHeight w:val="591"/>
          <w:jc w:val="center"/>
        </w:trPr>
        <w:tc>
          <w:tcPr>
            <w:tcW w:w="2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C5887" w:rsidRPr="008E7D8C" w:rsidRDefault="00BC5887" w:rsidP="00E36CCA">
            <w:pPr>
              <w:pStyle w:val="para"/>
            </w:pPr>
            <w:r>
              <w:t>Immo</w:t>
            </w:r>
            <w:r w:rsidRPr="008E7D8C">
              <w:t>. corporelles</w:t>
            </w:r>
          </w:p>
          <w:p w:rsidR="00BC5887" w:rsidRPr="008E7D8C" w:rsidRDefault="00BC5887" w:rsidP="00E36CCA">
            <w:pPr>
              <w:pStyle w:val="para"/>
            </w:pPr>
            <w:r>
              <w:t>Immo</w:t>
            </w:r>
            <w:r w:rsidRPr="008E7D8C">
              <w:t>. financières</w:t>
            </w:r>
          </w:p>
          <w:p w:rsidR="00BC5887" w:rsidRPr="008E7D8C" w:rsidRDefault="00BC5887" w:rsidP="00E36CCA">
            <w:pPr>
              <w:pStyle w:val="para"/>
            </w:pPr>
            <w:r w:rsidRPr="008E7D8C">
              <w:t>Stocks</w:t>
            </w:r>
          </w:p>
          <w:p w:rsidR="00BC5887" w:rsidRPr="008E7D8C" w:rsidRDefault="00BC5887" w:rsidP="00E36CCA">
            <w:pPr>
              <w:pStyle w:val="para"/>
            </w:pPr>
            <w:r w:rsidRPr="008E7D8C">
              <w:t>Créances clients</w:t>
            </w:r>
          </w:p>
          <w:p w:rsidR="00BC5887" w:rsidRPr="008E7D8C" w:rsidRDefault="00BC5887" w:rsidP="00E36CCA">
            <w:pPr>
              <w:pStyle w:val="para"/>
            </w:pPr>
            <w:r w:rsidRPr="008E7D8C">
              <w:t>Disponibilités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1000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350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120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505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108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600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400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350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120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505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108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887" w:rsidRPr="008E7D8C" w:rsidRDefault="00BC5887" w:rsidP="00E36CCA">
            <w:pPr>
              <w:pStyle w:val="para"/>
            </w:pPr>
            <w:r w:rsidRPr="008E7D8C">
              <w:t>Capital social</w:t>
            </w:r>
          </w:p>
          <w:p w:rsidR="00BC5887" w:rsidRPr="008E7D8C" w:rsidRDefault="00BC5887" w:rsidP="00E36CCA">
            <w:pPr>
              <w:pStyle w:val="para"/>
            </w:pPr>
            <w:r w:rsidRPr="008E7D8C">
              <w:t>Réserves</w:t>
            </w:r>
          </w:p>
          <w:p w:rsidR="00BC5887" w:rsidRPr="008E7D8C" w:rsidRDefault="00BC5887" w:rsidP="00E36CCA">
            <w:pPr>
              <w:pStyle w:val="para"/>
            </w:pPr>
            <w:r w:rsidRPr="008E7D8C">
              <w:t xml:space="preserve">Résultat de </w:t>
            </w:r>
            <w:r>
              <w:t>l'exercice</w:t>
            </w:r>
          </w:p>
          <w:p w:rsidR="00BC5887" w:rsidRPr="008E7D8C" w:rsidRDefault="00BC5887" w:rsidP="00E36CCA">
            <w:pPr>
              <w:pStyle w:val="para"/>
            </w:pPr>
            <w:r w:rsidRPr="008E7D8C">
              <w:t xml:space="preserve">Emprunts </w:t>
            </w:r>
          </w:p>
          <w:p w:rsidR="00BC5887" w:rsidRPr="008E7D8C" w:rsidRDefault="00BC5887" w:rsidP="00E36CCA">
            <w:pPr>
              <w:pStyle w:val="para"/>
            </w:pPr>
            <w:r w:rsidRPr="008E7D8C">
              <w:t>Dettes fournisseurs</w:t>
            </w:r>
          </w:p>
          <w:p w:rsidR="00BC5887" w:rsidRPr="008E7D8C" w:rsidRDefault="00BC5887" w:rsidP="003B16EE">
            <w:pPr>
              <w:pStyle w:val="para"/>
            </w:pPr>
            <w:r w:rsidRPr="008E7D8C">
              <w:t xml:space="preserve">Dettes </w:t>
            </w:r>
            <w:r w:rsidR="003B16EE" w:rsidRPr="00D20E54">
              <w:t xml:space="preserve">fiscales et </w:t>
            </w:r>
            <w:r w:rsidRPr="00D20E54">
              <w:t>sociales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600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90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33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610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120</w:t>
            </w:r>
          </w:p>
          <w:p w:rsidR="00BC5887" w:rsidRPr="008E7D8C" w:rsidRDefault="00BC5887" w:rsidP="00E36CCA">
            <w:pPr>
              <w:pStyle w:val="para"/>
              <w:ind w:right="284"/>
              <w:jc w:val="right"/>
            </w:pPr>
            <w:r w:rsidRPr="008E7D8C">
              <w:t>30</w:t>
            </w:r>
          </w:p>
        </w:tc>
      </w:tr>
      <w:tr w:rsidR="00DA1E51" w:rsidRPr="00D35EC3" w:rsidTr="003B16EE">
        <w:trPr>
          <w:cantSplit/>
          <w:trHeight w:val="96"/>
          <w:jc w:val="center"/>
        </w:trPr>
        <w:tc>
          <w:tcPr>
            <w:tcW w:w="251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DA1E51" w:rsidRPr="00D35EC3" w:rsidRDefault="00DA1E51" w:rsidP="00E36CCA">
            <w:pPr>
              <w:pStyle w:val="para"/>
              <w:rPr>
                <w:b/>
              </w:rPr>
            </w:pPr>
            <w:r w:rsidRPr="00D35EC3">
              <w:rPr>
                <w:b/>
              </w:rPr>
              <w:t>Total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1E51" w:rsidRPr="00D35EC3" w:rsidRDefault="00DA1E51" w:rsidP="003F48ED">
            <w:pPr>
              <w:pStyle w:val="para"/>
              <w:ind w:right="284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Pr="00D35EC3">
              <w:rPr>
                <w:b/>
              </w:rPr>
              <w:t xml:space="preserve"> </w:t>
            </w:r>
            <w:r>
              <w:rPr>
                <w:b/>
              </w:rPr>
              <w:t>083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1E51" w:rsidRPr="00D35EC3" w:rsidRDefault="00DA1E51" w:rsidP="003F48ED">
            <w:pPr>
              <w:pStyle w:val="para"/>
              <w:ind w:right="284"/>
              <w:jc w:val="right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1E51" w:rsidRPr="00D35EC3" w:rsidRDefault="00DA1E51" w:rsidP="003F48ED">
            <w:pPr>
              <w:pStyle w:val="para"/>
              <w:ind w:right="284"/>
              <w:jc w:val="right"/>
              <w:rPr>
                <w:b/>
              </w:rPr>
            </w:pPr>
            <w:r>
              <w:rPr>
                <w:b/>
              </w:rPr>
              <w:t>1 483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DA1E51" w:rsidRPr="00D35EC3" w:rsidRDefault="00DA1E51" w:rsidP="003F48ED">
            <w:pPr>
              <w:pStyle w:val="para"/>
              <w:rPr>
                <w:b/>
              </w:rPr>
            </w:pPr>
            <w:r w:rsidRPr="00D35EC3">
              <w:rPr>
                <w:b/>
              </w:rPr>
              <w:t>Total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A1E51" w:rsidRPr="00D35EC3" w:rsidRDefault="00DA1E51" w:rsidP="003F48ED">
            <w:pPr>
              <w:pStyle w:val="para"/>
              <w:ind w:right="284"/>
              <w:jc w:val="right"/>
              <w:rPr>
                <w:b/>
              </w:rPr>
            </w:pPr>
            <w:r w:rsidRPr="00D35EC3">
              <w:rPr>
                <w:b/>
              </w:rPr>
              <w:t>1</w:t>
            </w:r>
            <w:r>
              <w:rPr>
                <w:b/>
              </w:rPr>
              <w:t> 483</w:t>
            </w:r>
          </w:p>
        </w:tc>
      </w:tr>
      <w:tr w:rsidR="00BC5887" w:rsidRPr="00D35EC3" w:rsidTr="003B16EE">
        <w:trPr>
          <w:cantSplit/>
          <w:trHeight w:val="96"/>
          <w:jc w:val="center"/>
        </w:trPr>
        <w:tc>
          <w:tcPr>
            <w:tcW w:w="995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5887" w:rsidRPr="008E7D8C" w:rsidRDefault="00BC5887" w:rsidP="00E36CCA">
            <w:pPr>
              <w:pStyle w:val="para"/>
            </w:pPr>
            <w:r w:rsidRPr="008E7D8C">
              <w:t>BFR fin N :</w:t>
            </w:r>
          </w:p>
          <w:p w:rsidR="00BC5887" w:rsidRPr="008E7D8C" w:rsidRDefault="00BC5887" w:rsidP="00BC5887">
            <w:pPr>
              <w:pStyle w:val="para"/>
              <w:numPr>
                <w:ilvl w:val="0"/>
                <w:numId w:val="1"/>
              </w:numPr>
            </w:pPr>
            <w:r>
              <w:t>S</w:t>
            </w:r>
            <w:r w:rsidRPr="008E7D8C">
              <w:t>tocks : ce sont les stocks finaux qui n’ont pas été utilisés ou non revendus, ils n’ont pas généré de trésorerie positive au cours de l’année N</w:t>
            </w:r>
            <w:r>
              <w:t>.</w:t>
            </w:r>
          </w:p>
          <w:p w:rsidR="00BC5887" w:rsidRPr="008E7D8C" w:rsidRDefault="00BC5887" w:rsidP="00BC5887">
            <w:pPr>
              <w:pStyle w:val="para"/>
              <w:numPr>
                <w:ilvl w:val="0"/>
                <w:numId w:val="1"/>
              </w:numPr>
            </w:pPr>
            <w:r>
              <w:t>C</w:t>
            </w:r>
            <w:r w:rsidRPr="008E7D8C">
              <w:t>réances clients : ces créances sont liées à des ventes faites dans l’année N mais pour lesquelles l’entreprise n’a pas eu de contrepartie</w:t>
            </w:r>
            <w:r w:rsidRPr="008E7D8C">
              <w:rPr>
                <w:color w:val="FFFFFF"/>
              </w:rPr>
              <w:t xml:space="preserve"> </w:t>
            </w:r>
            <w:r w:rsidRPr="008E7D8C">
              <w:t>monétaire en N</w:t>
            </w:r>
            <w:r>
              <w:t>.</w:t>
            </w:r>
          </w:p>
          <w:p w:rsidR="00BC5887" w:rsidRDefault="00BC5887" w:rsidP="00BC5887">
            <w:pPr>
              <w:pStyle w:val="para"/>
              <w:numPr>
                <w:ilvl w:val="0"/>
                <w:numId w:val="1"/>
              </w:numPr>
            </w:pPr>
            <w:r>
              <w:t>D</w:t>
            </w:r>
            <w:r w:rsidRPr="008E7D8C">
              <w:t>ettes fournisseurs : achats non encore décaissés en N</w:t>
            </w:r>
            <w:r>
              <w:t>.</w:t>
            </w:r>
          </w:p>
          <w:p w:rsidR="003B16EE" w:rsidRPr="00D20E54" w:rsidRDefault="003B16EE" w:rsidP="00BC5887">
            <w:pPr>
              <w:pStyle w:val="para"/>
              <w:numPr>
                <w:ilvl w:val="0"/>
                <w:numId w:val="1"/>
              </w:numPr>
            </w:pPr>
            <w:r w:rsidRPr="00D20E54">
              <w:t>Dettes fiscales : TVA non encore décaissée en N.</w:t>
            </w:r>
          </w:p>
          <w:p w:rsidR="00BC5887" w:rsidRPr="00D35EC3" w:rsidRDefault="00BC5887" w:rsidP="00BC5887">
            <w:pPr>
              <w:pStyle w:val="para"/>
              <w:numPr>
                <w:ilvl w:val="0"/>
                <w:numId w:val="1"/>
              </w:numPr>
            </w:pPr>
            <w:r>
              <w:t>D</w:t>
            </w:r>
            <w:r w:rsidRPr="008E7D8C">
              <w:t>ettes sociales : liées aux charges de personnel mais pour lesquelles</w:t>
            </w:r>
            <w:r w:rsidRPr="008E7D8C">
              <w:rPr>
                <w:color w:val="FFFFFF"/>
              </w:rPr>
              <w:t xml:space="preserve"> </w:t>
            </w:r>
            <w:r w:rsidRPr="008E7D8C">
              <w:t>tout n’a pas été versé en N.</w:t>
            </w:r>
          </w:p>
        </w:tc>
      </w:tr>
    </w:tbl>
    <w:p w:rsidR="00BC5887" w:rsidRDefault="00BC5887" w:rsidP="00BC5887">
      <w:pPr>
        <w:jc w:val="center"/>
        <w:rPr>
          <w:b/>
        </w:rPr>
      </w:pPr>
    </w:p>
    <w:p w:rsidR="00EF5CA4" w:rsidRDefault="00EF5CA4"/>
    <w:sectPr w:rsidR="00EF5CA4" w:rsidSect="00294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0438C"/>
    <w:multiLevelType w:val="hybridMultilevel"/>
    <w:tmpl w:val="09EC0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C5887"/>
    <w:rsid w:val="000A0FE2"/>
    <w:rsid w:val="00181992"/>
    <w:rsid w:val="0022692E"/>
    <w:rsid w:val="002944A4"/>
    <w:rsid w:val="003B16EE"/>
    <w:rsid w:val="004D1A71"/>
    <w:rsid w:val="008B7448"/>
    <w:rsid w:val="00A74B3F"/>
    <w:rsid w:val="00B72ED8"/>
    <w:rsid w:val="00BC5887"/>
    <w:rsid w:val="00CB55EC"/>
    <w:rsid w:val="00D20E54"/>
    <w:rsid w:val="00DA1E51"/>
    <w:rsid w:val="00EB182B"/>
    <w:rsid w:val="00EF5CA4"/>
    <w:rsid w:val="00FB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8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">
    <w:name w:val="para"/>
    <w:basedOn w:val="Normal"/>
    <w:rsid w:val="00BC5887"/>
    <w:pPr>
      <w:jc w:val="both"/>
    </w:pPr>
    <w:rPr>
      <w:rFonts w:eastAsia="Times New Roman" w:cs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JANUARIO</dc:creator>
  <cp:keywords/>
  <dc:description/>
  <cp:lastModifiedBy>Carlos JANUARIO</cp:lastModifiedBy>
  <cp:revision>6</cp:revision>
  <dcterms:created xsi:type="dcterms:W3CDTF">2011-02-24T18:30:00Z</dcterms:created>
  <dcterms:modified xsi:type="dcterms:W3CDTF">2011-03-02T07:40:00Z</dcterms:modified>
</cp:coreProperties>
</file>