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CA4" w:rsidRDefault="00DF74EA" w:rsidP="00DF74EA">
      <w:pPr>
        <w:jc w:val="center"/>
        <w:rPr>
          <w:b/>
        </w:rPr>
      </w:pPr>
      <w:r w:rsidRPr="00DF74EA">
        <w:rPr>
          <w:b/>
        </w:rPr>
        <w:t>EXEMPLE 03 – DOCUMENT 1</w:t>
      </w:r>
    </w:p>
    <w:p w:rsidR="00DF74EA" w:rsidRDefault="00DF74EA" w:rsidP="00DF74EA">
      <w:pPr>
        <w:jc w:val="center"/>
        <w:rPr>
          <w:b/>
        </w:rPr>
      </w:pPr>
    </w:p>
    <w:tbl>
      <w:tblPr>
        <w:tblW w:w="9950" w:type="dxa"/>
        <w:jc w:val="center"/>
        <w:tblLayout w:type="fixed"/>
        <w:tblCellMar>
          <w:left w:w="70" w:type="dxa"/>
          <w:right w:w="70" w:type="dxa"/>
        </w:tblCellMar>
        <w:tblLook w:val="0000"/>
      </w:tblPr>
      <w:tblGrid>
        <w:gridCol w:w="2513"/>
        <w:gridCol w:w="1174"/>
        <w:gridCol w:w="1174"/>
        <w:gridCol w:w="1174"/>
        <w:gridCol w:w="2673"/>
        <w:gridCol w:w="1242"/>
      </w:tblGrid>
      <w:tr w:rsidR="00DF74EA" w:rsidRPr="00D3282A" w:rsidTr="00943401">
        <w:trPr>
          <w:cantSplit/>
          <w:trHeight w:val="111"/>
          <w:jc w:val="center"/>
        </w:trPr>
        <w:tc>
          <w:tcPr>
            <w:tcW w:w="9950" w:type="dxa"/>
            <w:gridSpan w:val="6"/>
            <w:tcBorders>
              <w:top w:val="single" w:sz="18" w:space="0" w:color="auto"/>
              <w:left w:val="single" w:sz="18" w:space="0" w:color="auto"/>
              <w:bottom w:val="single" w:sz="6" w:space="0" w:color="auto"/>
              <w:right w:val="single" w:sz="18" w:space="0" w:color="auto"/>
            </w:tcBorders>
            <w:shd w:val="clear" w:color="auto" w:fill="E5B8B7" w:themeFill="accent2" w:themeFillTint="66"/>
          </w:tcPr>
          <w:p w:rsidR="00DF74EA" w:rsidRPr="00D3282A" w:rsidRDefault="00DF74EA" w:rsidP="00E36CCA">
            <w:pPr>
              <w:pStyle w:val="para"/>
              <w:jc w:val="center"/>
              <w:rPr>
                <w:b/>
              </w:rPr>
            </w:pPr>
            <w:r w:rsidRPr="00D3282A">
              <w:rPr>
                <w:b/>
              </w:rPr>
              <w:t>Bilan au 31/12/N-1 (en milliers d’euros)</w:t>
            </w:r>
          </w:p>
        </w:tc>
      </w:tr>
      <w:tr w:rsidR="00DF74EA" w:rsidRPr="00D3282A" w:rsidTr="00943401">
        <w:trPr>
          <w:cantSplit/>
          <w:trHeight w:val="117"/>
          <w:jc w:val="center"/>
        </w:trPr>
        <w:tc>
          <w:tcPr>
            <w:tcW w:w="2513" w:type="dxa"/>
            <w:tcBorders>
              <w:top w:val="single" w:sz="6" w:space="0" w:color="auto"/>
              <w:left w:val="single" w:sz="18" w:space="0" w:color="auto"/>
              <w:bottom w:val="single" w:sz="6" w:space="0" w:color="auto"/>
              <w:right w:val="single" w:sz="6" w:space="0" w:color="auto"/>
            </w:tcBorders>
            <w:shd w:val="clear" w:color="auto" w:fill="D6E3BC" w:themeFill="accent3" w:themeFillTint="66"/>
          </w:tcPr>
          <w:p w:rsidR="00DF74EA" w:rsidRPr="00D3282A" w:rsidRDefault="00DF74EA" w:rsidP="00E36CCA">
            <w:pPr>
              <w:pStyle w:val="para"/>
              <w:jc w:val="center"/>
              <w:rPr>
                <w:b/>
              </w:rPr>
            </w:pPr>
            <w:r w:rsidRPr="00D3282A">
              <w:rPr>
                <w:b/>
              </w:rPr>
              <w:t>Actif</w:t>
            </w:r>
          </w:p>
        </w:tc>
        <w:tc>
          <w:tcPr>
            <w:tcW w:w="1174" w:type="dxa"/>
            <w:tcBorders>
              <w:top w:val="single" w:sz="6" w:space="0" w:color="auto"/>
              <w:left w:val="single" w:sz="6" w:space="0" w:color="auto"/>
              <w:bottom w:val="single" w:sz="6" w:space="0" w:color="auto"/>
              <w:right w:val="single" w:sz="6" w:space="0" w:color="auto"/>
            </w:tcBorders>
            <w:shd w:val="clear" w:color="auto" w:fill="D6E3BC" w:themeFill="accent3" w:themeFillTint="66"/>
          </w:tcPr>
          <w:p w:rsidR="00DF74EA" w:rsidRPr="00D3282A" w:rsidRDefault="00DF74EA" w:rsidP="00E36CCA">
            <w:pPr>
              <w:pStyle w:val="para"/>
              <w:jc w:val="center"/>
              <w:rPr>
                <w:b/>
              </w:rPr>
            </w:pPr>
            <w:r w:rsidRPr="00D3282A">
              <w:rPr>
                <w:b/>
              </w:rPr>
              <w:t>Brut</w:t>
            </w:r>
          </w:p>
        </w:tc>
        <w:tc>
          <w:tcPr>
            <w:tcW w:w="1174" w:type="dxa"/>
            <w:tcBorders>
              <w:top w:val="single" w:sz="6" w:space="0" w:color="auto"/>
              <w:left w:val="single" w:sz="6" w:space="0" w:color="auto"/>
              <w:bottom w:val="single" w:sz="6" w:space="0" w:color="auto"/>
              <w:right w:val="single" w:sz="6" w:space="0" w:color="auto"/>
            </w:tcBorders>
            <w:shd w:val="clear" w:color="auto" w:fill="D6E3BC" w:themeFill="accent3" w:themeFillTint="66"/>
          </w:tcPr>
          <w:p w:rsidR="00DF74EA" w:rsidRPr="00D3282A" w:rsidRDefault="00DF74EA" w:rsidP="00E36CCA">
            <w:pPr>
              <w:pStyle w:val="para"/>
              <w:jc w:val="center"/>
              <w:rPr>
                <w:b/>
              </w:rPr>
            </w:pPr>
            <w:r w:rsidRPr="00D3282A">
              <w:rPr>
                <w:b/>
              </w:rPr>
              <w:t>A. et P.</w:t>
            </w:r>
          </w:p>
        </w:tc>
        <w:tc>
          <w:tcPr>
            <w:tcW w:w="1174" w:type="dxa"/>
            <w:tcBorders>
              <w:top w:val="single" w:sz="6" w:space="0" w:color="auto"/>
              <w:left w:val="single" w:sz="6" w:space="0" w:color="auto"/>
              <w:bottom w:val="single" w:sz="6" w:space="0" w:color="auto"/>
              <w:right w:val="single" w:sz="6" w:space="0" w:color="auto"/>
            </w:tcBorders>
            <w:shd w:val="clear" w:color="auto" w:fill="D6E3BC" w:themeFill="accent3" w:themeFillTint="66"/>
          </w:tcPr>
          <w:p w:rsidR="00DF74EA" w:rsidRPr="00D3282A" w:rsidRDefault="00DF74EA" w:rsidP="00E36CCA">
            <w:pPr>
              <w:pStyle w:val="para"/>
              <w:jc w:val="center"/>
              <w:rPr>
                <w:b/>
              </w:rPr>
            </w:pPr>
            <w:r w:rsidRPr="00D3282A">
              <w:rPr>
                <w:b/>
              </w:rPr>
              <w:t>Net</w:t>
            </w:r>
          </w:p>
        </w:tc>
        <w:tc>
          <w:tcPr>
            <w:tcW w:w="2673" w:type="dxa"/>
            <w:tcBorders>
              <w:top w:val="single" w:sz="6" w:space="0" w:color="auto"/>
              <w:left w:val="single" w:sz="6" w:space="0" w:color="auto"/>
              <w:bottom w:val="single" w:sz="6" w:space="0" w:color="auto"/>
              <w:right w:val="single" w:sz="6" w:space="0" w:color="auto"/>
            </w:tcBorders>
            <w:shd w:val="clear" w:color="auto" w:fill="D6E3BC" w:themeFill="accent3" w:themeFillTint="66"/>
          </w:tcPr>
          <w:p w:rsidR="00DF74EA" w:rsidRPr="00D3282A" w:rsidRDefault="00DF74EA" w:rsidP="00E36CCA">
            <w:pPr>
              <w:pStyle w:val="para"/>
              <w:jc w:val="center"/>
              <w:rPr>
                <w:b/>
              </w:rPr>
            </w:pPr>
            <w:r w:rsidRPr="00D3282A">
              <w:rPr>
                <w:b/>
              </w:rPr>
              <w:t>Passif</w:t>
            </w:r>
          </w:p>
        </w:tc>
        <w:tc>
          <w:tcPr>
            <w:tcW w:w="1242" w:type="dxa"/>
            <w:tcBorders>
              <w:top w:val="single" w:sz="6" w:space="0" w:color="auto"/>
              <w:left w:val="single" w:sz="6" w:space="0" w:color="auto"/>
              <w:bottom w:val="single" w:sz="6" w:space="0" w:color="auto"/>
              <w:right w:val="single" w:sz="18" w:space="0" w:color="auto"/>
            </w:tcBorders>
            <w:shd w:val="clear" w:color="auto" w:fill="D6E3BC" w:themeFill="accent3" w:themeFillTint="66"/>
          </w:tcPr>
          <w:p w:rsidR="00DF74EA" w:rsidRPr="00D3282A" w:rsidRDefault="00DF74EA" w:rsidP="00E36CCA">
            <w:pPr>
              <w:pStyle w:val="para"/>
              <w:jc w:val="center"/>
              <w:rPr>
                <w:b/>
              </w:rPr>
            </w:pPr>
            <w:r w:rsidRPr="00D3282A">
              <w:rPr>
                <w:b/>
              </w:rPr>
              <w:t>Montant</w:t>
            </w:r>
          </w:p>
        </w:tc>
      </w:tr>
      <w:tr w:rsidR="00DF74EA" w:rsidRPr="00880BD1" w:rsidTr="00943401">
        <w:trPr>
          <w:cantSplit/>
          <w:trHeight w:val="679"/>
          <w:jc w:val="center"/>
        </w:trPr>
        <w:tc>
          <w:tcPr>
            <w:tcW w:w="2513" w:type="dxa"/>
            <w:tcBorders>
              <w:top w:val="single" w:sz="6" w:space="0" w:color="auto"/>
              <w:left w:val="single" w:sz="18" w:space="0" w:color="auto"/>
              <w:bottom w:val="single" w:sz="6" w:space="0" w:color="auto"/>
              <w:right w:val="single" w:sz="6" w:space="0" w:color="auto"/>
            </w:tcBorders>
          </w:tcPr>
          <w:p w:rsidR="00DF74EA" w:rsidRPr="00880BD1" w:rsidRDefault="00DF74EA" w:rsidP="00E36CCA">
            <w:pPr>
              <w:pStyle w:val="para"/>
            </w:pPr>
            <w:r>
              <w:t>Immo</w:t>
            </w:r>
            <w:r w:rsidRPr="00880BD1">
              <w:t>. corporelles</w:t>
            </w:r>
          </w:p>
          <w:p w:rsidR="00DF74EA" w:rsidRPr="00880BD1" w:rsidRDefault="00DF74EA" w:rsidP="00E36CCA">
            <w:pPr>
              <w:pStyle w:val="para"/>
            </w:pPr>
            <w:r>
              <w:t>Immo</w:t>
            </w:r>
            <w:r w:rsidRPr="00880BD1">
              <w:t>. financières</w:t>
            </w:r>
          </w:p>
          <w:p w:rsidR="00DF74EA" w:rsidRPr="00880BD1" w:rsidRDefault="00DF74EA" w:rsidP="00E36CCA">
            <w:pPr>
              <w:pStyle w:val="para"/>
            </w:pPr>
            <w:r w:rsidRPr="00880BD1">
              <w:t>Stocks</w:t>
            </w:r>
          </w:p>
          <w:p w:rsidR="00DF74EA" w:rsidRPr="00880BD1" w:rsidRDefault="00DF74EA" w:rsidP="00E36CCA">
            <w:pPr>
              <w:pStyle w:val="para"/>
            </w:pPr>
            <w:r w:rsidRPr="00880BD1">
              <w:t>Créances clients</w:t>
            </w:r>
          </w:p>
          <w:p w:rsidR="00DF74EA" w:rsidRPr="00880BD1" w:rsidRDefault="00DF74EA" w:rsidP="00E36CCA">
            <w:pPr>
              <w:pStyle w:val="para"/>
            </w:pPr>
            <w:r w:rsidRPr="00880BD1">
              <w:t>Disponibilités</w:t>
            </w:r>
          </w:p>
        </w:tc>
        <w:tc>
          <w:tcPr>
            <w:tcW w:w="1174" w:type="dxa"/>
            <w:tcBorders>
              <w:top w:val="single" w:sz="6" w:space="0" w:color="auto"/>
              <w:left w:val="single" w:sz="6" w:space="0" w:color="auto"/>
              <w:bottom w:val="single" w:sz="6" w:space="0" w:color="auto"/>
              <w:right w:val="single" w:sz="6" w:space="0" w:color="auto"/>
            </w:tcBorders>
          </w:tcPr>
          <w:p w:rsidR="00DF74EA" w:rsidRPr="00880BD1" w:rsidRDefault="00DF74EA" w:rsidP="00E36CCA">
            <w:pPr>
              <w:pStyle w:val="para"/>
              <w:ind w:right="284"/>
              <w:jc w:val="right"/>
            </w:pPr>
            <w:r w:rsidRPr="00880BD1">
              <w:t>680</w:t>
            </w:r>
          </w:p>
          <w:p w:rsidR="00DF74EA" w:rsidRPr="00880BD1" w:rsidRDefault="00DF74EA" w:rsidP="00E36CCA">
            <w:pPr>
              <w:pStyle w:val="para"/>
              <w:ind w:right="284"/>
              <w:jc w:val="right"/>
            </w:pPr>
            <w:r w:rsidRPr="00880BD1">
              <w:t>270</w:t>
            </w:r>
          </w:p>
          <w:p w:rsidR="00DF74EA" w:rsidRPr="00880BD1" w:rsidRDefault="00DF74EA" w:rsidP="00E36CCA">
            <w:pPr>
              <w:pStyle w:val="para"/>
              <w:ind w:right="284"/>
              <w:jc w:val="right"/>
            </w:pPr>
            <w:r w:rsidRPr="00880BD1">
              <w:t>100</w:t>
            </w:r>
          </w:p>
          <w:p w:rsidR="00DF74EA" w:rsidRPr="00880BD1" w:rsidRDefault="00DF74EA" w:rsidP="00E36CCA">
            <w:pPr>
              <w:pStyle w:val="para"/>
              <w:ind w:right="284"/>
              <w:jc w:val="right"/>
            </w:pPr>
            <w:r w:rsidRPr="00880BD1">
              <w:t>405</w:t>
            </w:r>
          </w:p>
          <w:p w:rsidR="00DF74EA" w:rsidRPr="00880BD1" w:rsidRDefault="00DF74EA" w:rsidP="00E36CCA">
            <w:pPr>
              <w:pStyle w:val="para"/>
              <w:ind w:right="284"/>
              <w:jc w:val="right"/>
            </w:pPr>
            <w:r w:rsidRPr="00880BD1">
              <w:t>83</w:t>
            </w:r>
          </w:p>
          <w:p w:rsidR="00DF74EA" w:rsidRPr="00880BD1" w:rsidRDefault="00DF74EA" w:rsidP="00E36CCA">
            <w:pPr>
              <w:pStyle w:val="para"/>
              <w:ind w:right="284"/>
              <w:jc w:val="right"/>
            </w:pPr>
          </w:p>
        </w:tc>
        <w:tc>
          <w:tcPr>
            <w:tcW w:w="1174" w:type="dxa"/>
            <w:tcBorders>
              <w:top w:val="single" w:sz="6" w:space="0" w:color="auto"/>
              <w:left w:val="single" w:sz="6" w:space="0" w:color="auto"/>
              <w:bottom w:val="single" w:sz="6" w:space="0" w:color="auto"/>
              <w:right w:val="single" w:sz="6" w:space="0" w:color="auto"/>
            </w:tcBorders>
          </w:tcPr>
          <w:p w:rsidR="00DF74EA" w:rsidRPr="00880BD1" w:rsidRDefault="00DF74EA" w:rsidP="00E36CCA">
            <w:pPr>
              <w:pStyle w:val="para"/>
              <w:ind w:right="284"/>
              <w:jc w:val="right"/>
            </w:pPr>
            <w:r w:rsidRPr="00880BD1">
              <w:t>500</w:t>
            </w:r>
          </w:p>
          <w:p w:rsidR="00DF74EA" w:rsidRPr="00880BD1" w:rsidRDefault="00DF74EA" w:rsidP="00E36CCA">
            <w:pPr>
              <w:pStyle w:val="para"/>
              <w:ind w:right="284"/>
              <w:jc w:val="right"/>
            </w:pPr>
          </w:p>
        </w:tc>
        <w:tc>
          <w:tcPr>
            <w:tcW w:w="1174" w:type="dxa"/>
            <w:tcBorders>
              <w:top w:val="single" w:sz="6" w:space="0" w:color="auto"/>
              <w:left w:val="single" w:sz="6" w:space="0" w:color="auto"/>
              <w:bottom w:val="single" w:sz="6" w:space="0" w:color="auto"/>
              <w:right w:val="single" w:sz="6" w:space="0" w:color="auto"/>
            </w:tcBorders>
          </w:tcPr>
          <w:p w:rsidR="00DF74EA" w:rsidRPr="00880BD1" w:rsidRDefault="00DF74EA" w:rsidP="00E36CCA">
            <w:pPr>
              <w:pStyle w:val="para"/>
              <w:ind w:right="284"/>
              <w:jc w:val="right"/>
            </w:pPr>
            <w:r w:rsidRPr="00880BD1">
              <w:t>180</w:t>
            </w:r>
          </w:p>
          <w:p w:rsidR="00DF74EA" w:rsidRPr="00880BD1" w:rsidRDefault="00DF74EA" w:rsidP="00E36CCA">
            <w:pPr>
              <w:pStyle w:val="para"/>
              <w:ind w:right="284"/>
              <w:jc w:val="right"/>
            </w:pPr>
            <w:r w:rsidRPr="00880BD1">
              <w:t>270</w:t>
            </w:r>
          </w:p>
          <w:p w:rsidR="00DF74EA" w:rsidRPr="00880BD1" w:rsidRDefault="00DF74EA" w:rsidP="00E36CCA">
            <w:pPr>
              <w:pStyle w:val="para"/>
              <w:ind w:right="284"/>
              <w:jc w:val="right"/>
            </w:pPr>
            <w:r w:rsidRPr="00880BD1">
              <w:t>100</w:t>
            </w:r>
          </w:p>
          <w:p w:rsidR="00DF74EA" w:rsidRPr="00880BD1" w:rsidRDefault="00DF74EA" w:rsidP="00E36CCA">
            <w:pPr>
              <w:pStyle w:val="para"/>
              <w:ind w:right="284"/>
              <w:jc w:val="right"/>
            </w:pPr>
            <w:r w:rsidRPr="00880BD1">
              <w:t>405</w:t>
            </w:r>
          </w:p>
          <w:p w:rsidR="00DF74EA" w:rsidRPr="00880BD1" w:rsidRDefault="00DF74EA" w:rsidP="00E36CCA">
            <w:pPr>
              <w:pStyle w:val="para"/>
              <w:ind w:right="284"/>
              <w:jc w:val="right"/>
            </w:pPr>
            <w:r w:rsidRPr="00880BD1">
              <w:t>83</w:t>
            </w:r>
          </w:p>
          <w:p w:rsidR="00DF74EA" w:rsidRPr="00880BD1" w:rsidRDefault="00DF74EA" w:rsidP="00E36CCA">
            <w:pPr>
              <w:pStyle w:val="para"/>
              <w:ind w:right="284"/>
              <w:jc w:val="right"/>
            </w:pPr>
          </w:p>
        </w:tc>
        <w:tc>
          <w:tcPr>
            <w:tcW w:w="2673" w:type="dxa"/>
            <w:tcBorders>
              <w:top w:val="single" w:sz="6" w:space="0" w:color="auto"/>
              <w:left w:val="single" w:sz="6" w:space="0" w:color="auto"/>
              <w:bottom w:val="single" w:sz="6" w:space="0" w:color="auto"/>
              <w:right w:val="single" w:sz="6" w:space="0" w:color="auto"/>
            </w:tcBorders>
          </w:tcPr>
          <w:p w:rsidR="00DF74EA" w:rsidRPr="00880BD1" w:rsidRDefault="00DF74EA" w:rsidP="00E36CCA">
            <w:pPr>
              <w:pStyle w:val="para"/>
            </w:pPr>
            <w:r w:rsidRPr="00880BD1">
              <w:t>Capital social</w:t>
            </w:r>
          </w:p>
          <w:p w:rsidR="00DF74EA" w:rsidRPr="00880BD1" w:rsidRDefault="00DF74EA" w:rsidP="00E36CCA">
            <w:pPr>
              <w:pStyle w:val="para"/>
            </w:pPr>
            <w:r w:rsidRPr="00880BD1">
              <w:t>Réserves</w:t>
            </w:r>
          </w:p>
          <w:p w:rsidR="00DF74EA" w:rsidRPr="00880BD1" w:rsidRDefault="00DF74EA" w:rsidP="00E36CCA">
            <w:pPr>
              <w:pStyle w:val="para"/>
            </w:pPr>
            <w:r>
              <w:t>Résultat de l'exercice</w:t>
            </w:r>
          </w:p>
          <w:p w:rsidR="00DF74EA" w:rsidRPr="00880BD1" w:rsidRDefault="00DF74EA" w:rsidP="00E36CCA">
            <w:pPr>
              <w:pStyle w:val="para"/>
            </w:pPr>
            <w:r w:rsidRPr="00880BD1">
              <w:t xml:space="preserve">Emprunts </w:t>
            </w:r>
          </w:p>
          <w:p w:rsidR="00DF74EA" w:rsidRPr="00880BD1" w:rsidRDefault="00DF74EA" w:rsidP="00E36CCA">
            <w:pPr>
              <w:pStyle w:val="para"/>
            </w:pPr>
            <w:r w:rsidRPr="00880BD1">
              <w:t>Dettes fournisseurs</w:t>
            </w:r>
          </w:p>
          <w:p w:rsidR="00DF74EA" w:rsidRPr="00880BD1" w:rsidRDefault="00DF74EA" w:rsidP="00943401">
            <w:pPr>
              <w:pStyle w:val="para"/>
            </w:pPr>
            <w:r w:rsidRPr="0008364F">
              <w:t xml:space="preserve">Dettes </w:t>
            </w:r>
            <w:r w:rsidR="00943401" w:rsidRPr="0008364F">
              <w:t>fiscales et</w:t>
            </w:r>
            <w:r w:rsidR="00943401">
              <w:t xml:space="preserve"> sociales </w:t>
            </w:r>
          </w:p>
        </w:tc>
        <w:tc>
          <w:tcPr>
            <w:tcW w:w="1242" w:type="dxa"/>
            <w:tcBorders>
              <w:top w:val="single" w:sz="6" w:space="0" w:color="auto"/>
              <w:left w:val="single" w:sz="6" w:space="0" w:color="auto"/>
              <w:bottom w:val="single" w:sz="6" w:space="0" w:color="auto"/>
              <w:right w:val="single" w:sz="18" w:space="0" w:color="auto"/>
            </w:tcBorders>
          </w:tcPr>
          <w:p w:rsidR="00DF74EA" w:rsidRPr="00880BD1" w:rsidRDefault="00DF74EA" w:rsidP="00E36CCA">
            <w:pPr>
              <w:pStyle w:val="para"/>
              <w:ind w:right="284"/>
              <w:jc w:val="right"/>
            </w:pPr>
            <w:r w:rsidRPr="00880BD1">
              <w:t>500</w:t>
            </w:r>
          </w:p>
          <w:p w:rsidR="00DF74EA" w:rsidRPr="00880BD1" w:rsidRDefault="00DF74EA" w:rsidP="00E36CCA">
            <w:pPr>
              <w:pStyle w:val="para"/>
              <w:ind w:right="284"/>
              <w:jc w:val="right"/>
            </w:pPr>
            <w:r w:rsidRPr="00880BD1">
              <w:t>70</w:t>
            </w:r>
          </w:p>
          <w:p w:rsidR="00DF74EA" w:rsidRPr="00880BD1" w:rsidRDefault="00DF74EA" w:rsidP="00E36CCA">
            <w:pPr>
              <w:pStyle w:val="para"/>
              <w:ind w:right="284"/>
              <w:jc w:val="right"/>
            </w:pPr>
            <w:r w:rsidRPr="00880BD1">
              <w:t>40</w:t>
            </w:r>
          </w:p>
          <w:p w:rsidR="00DF74EA" w:rsidRPr="00880BD1" w:rsidRDefault="00DF74EA" w:rsidP="00E36CCA">
            <w:pPr>
              <w:pStyle w:val="para"/>
              <w:ind w:right="284"/>
              <w:jc w:val="right"/>
            </w:pPr>
            <w:r w:rsidRPr="00880BD1">
              <w:t>300</w:t>
            </w:r>
          </w:p>
          <w:p w:rsidR="00DF74EA" w:rsidRPr="00880BD1" w:rsidRDefault="00DF74EA" w:rsidP="00E36CCA">
            <w:pPr>
              <w:pStyle w:val="para"/>
              <w:ind w:right="284"/>
              <w:jc w:val="right"/>
            </w:pPr>
            <w:r w:rsidRPr="00880BD1">
              <w:t>100</w:t>
            </w:r>
          </w:p>
          <w:p w:rsidR="00DF74EA" w:rsidRPr="00880BD1" w:rsidRDefault="00DF74EA" w:rsidP="00E36CCA">
            <w:pPr>
              <w:pStyle w:val="para"/>
              <w:ind w:right="284"/>
              <w:jc w:val="right"/>
            </w:pPr>
            <w:r w:rsidRPr="00880BD1">
              <w:t>28</w:t>
            </w:r>
          </w:p>
        </w:tc>
      </w:tr>
      <w:tr w:rsidR="00DF74EA" w:rsidRPr="00D3282A" w:rsidTr="00943401">
        <w:trPr>
          <w:cantSplit/>
          <w:trHeight w:val="111"/>
          <w:jc w:val="center"/>
        </w:trPr>
        <w:tc>
          <w:tcPr>
            <w:tcW w:w="2513" w:type="dxa"/>
            <w:tcBorders>
              <w:top w:val="single" w:sz="6" w:space="0" w:color="auto"/>
              <w:left w:val="single" w:sz="18" w:space="0" w:color="auto"/>
              <w:bottom w:val="single" w:sz="6" w:space="0" w:color="auto"/>
              <w:right w:val="single" w:sz="6" w:space="0" w:color="auto"/>
            </w:tcBorders>
            <w:shd w:val="clear" w:color="auto" w:fill="B8CCE4" w:themeFill="accent1" w:themeFillTint="66"/>
          </w:tcPr>
          <w:p w:rsidR="00DF74EA" w:rsidRPr="00D3282A" w:rsidRDefault="00DF74EA" w:rsidP="00E36CCA">
            <w:pPr>
              <w:pStyle w:val="para"/>
              <w:rPr>
                <w:b/>
              </w:rPr>
            </w:pPr>
            <w:r w:rsidRPr="00D3282A">
              <w:rPr>
                <w:b/>
              </w:rPr>
              <w:t>Total</w:t>
            </w:r>
          </w:p>
        </w:tc>
        <w:tc>
          <w:tcPr>
            <w:tcW w:w="1174" w:type="dxa"/>
            <w:tcBorders>
              <w:top w:val="single" w:sz="6" w:space="0" w:color="auto"/>
              <w:left w:val="single" w:sz="6" w:space="0" w:color="auto"/>
              <w:bottom w:val="single" w:sz="6" w:space="0" w:color="auto"/>
              <w:right w:val="single" w:sz="6" w:space="0" w:color="auto"/>
            </w:tcBorders>
          </w:tcPr>
          <w:p w:rsidR="00DF74EA" w:rsidRPr="00D3282A" w:rsidRDefault="00DF74EA" w:rsidP="00E36CCA">
            <w:pPr>
              <w:pStyle w:val="para"/>
              <w:ind w:right="284"/>
              <w:jc w:val="right"/>
              <w:rPr>
                <w:b/>
              </w:rPr>
            </w:pPr>
            <w:r w:rsidRPr="00D3282A">
              <w:rPr>
                <w:b/>
              </w:rPr>
              <w:t>1 538</w:t>
            </w:r>
          </w:p>
        </w:tc>
        <w:tc>
          <w:tcPr>
            <w:tcW w:w="1174" w:type="dxa"/>
            <w:tcBorders>
              <w:top w:val="single" w:sz="6" w:space="0" w:color="auto"/>
              <w:left w:val="single" w:sz="6" w:space="0" w:color="auto"/>
              <w:bottom w:val="single" w:sz="6" w:space="0" w:color="auto"/>
              <w:right w:val="single" w:sz="6" w:space="0" w:color="auto"/>
            </w:tcBorders>
          </w:tcPr>
          <w:p w:rsidR="00DF74EA" w:rsidRPr="00D3282A" w:rsidRDefault="00DF74EA" w:rsidP="00E36CCA">
            <w:pPr>
              <w:pStyle w:val="para"/>
              <w:ind w:right="284"/>
              <w:jc w:val="right"/>
              <w:rPr>
                <w:b/>
              </w:rPr>
            </w:pPr>
            <w:r w:rsidRPr="00D3282A">
              <w:rPr>
                <w:b/>
              </w:rPr>
              <w:t>500</w:t>
            </w:r>
          </w:p>
        </w:tc>
        <w:tc>
          <w:tcPr>
            <w:tcW w:w="1174" w:type="dxa"/>
            <w:tcBorders>
              <w:top w:val="single" w:sz="6" w:space="0" w:color="auto"/>
              <w:left w:val="single" w:sz="6" w:space="0" w:color="auto"/>
              <w:bottom w:val="single" w:sz="6" w:space="0" w:color="auto"/>
              <w:right w:val="single" w:sz="6" w:space="0" w:color="auto"/>
            </w:tcBorders>
          </w:tcPr>
          <w:p w:rsidR="00DF74EA" w:rsidRPr="00D3282A" w:rsidRDefault="00DF74EA" w:rsidP="00E36CCA">
            <w:pPr>
              <w:pStyle w:val="para"/>
              <w:ind w:right="284"/>
              <w:jc w:val="right"/>
              <w:rPr>
                <w:b/>
              </w:rPr>
            </w:pPr>
            <w:r w:rsidRPr="00D3282A">
              <w:rPr>
                <w:b/>
              </w:rPr>
              <w:t>1038</w:t>
            </w:r>
          </w:p>
        </w:tc>
        <w:tc>
          <w:tcPr>
            <w:tcW w:w="2673"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rsidR="00DF74EA" w:rsidRPr="00D3282A" w:rsidRDefault="00DF74EA" w:rsidP="00E36CCA">
            <w:pPr>
              <w:pStyle w:val="para"/>
              <w:rPr>
                <w:b/>
              </w:rPr>
            </w:pPr>
            <w:r w:rsidRPr="00D3282A">
              <w:rPr>
                <w:b/>
              </w:rPr>
              <w:t>Total</w:t>
            </w:r>
          </w:p>
        </w:tc>
        <w:tc>
          <w:tcPr>
            <w:tcW w:w="1242" w:type="dxa"/>
            <w:tcBorders>
              <w:top w:val="single" w:sz="6" w:space="0" w:color="auto"/>
              <w:left w:val="single" w:sz="6" w:space="0" w:color="auto"/>
              <w:bottom w:val="single" w:sz="6" w:space="0" w:color="auto"/>
              <w:right w:val="single" w:sz="18" w:space="0" w:color="auto"/>
            </w:tcBorders>
          </w:tcPr>
          <w:p w:rsidR="00DF74EA" w:rsidRPr="00D3282A" w:rsidRDefault="00DF74EA" w:rsidP="00E36CCA">
            <w:pPr>
              <w:pStyle w:val="para"/>
              <w:ind w:right="284"/>
              <w:jc w:val="right"/>
              <w:rPr>
                <w:b/>
              </w:rPr>
            </w:pPr>
            <w:r w:rsidRPr="00D3282A">
              <w:rPr>
                <w:b/>
              </w:rPr>
              <w:t>1 038</w:t>
            </w:r>
          </w:p>
        </w:tc>
      </w:tr>
      <w:tr w:rsidR="00DF74EA" w:rsidRPr="00D3282A" w:rsidTr="00943401">
        <w:trPr>
          <w:cantSplit/>
          <w:trHeight w:val="111"/>
          <w:jc w:val="center"/>
        </w:trPr>
        <w:tc>
          <w:tcPr>
            <w:tcW w:w="9950" w:type="dxa"/>
            <w:gridSpan w:val="6"/>
            <w:tcBorders>
              <w:top w:val="single" w:sz="6" w:space="0" w:color="auto"/>
              <w:left w:val="single" w:sz="18" w:space="0" w:color="auto"/>
              <w:bottom w:val="single" w:sz="18" w:space="0" w:color="auto"/>
              <w:right w:val="single" w:sz="18" w:space="0" w:color="auto"/>
            </w:tcBorders>
            <w:shd w:val="clear" w:color="auto" w:fill="auto"/>
          </w:tcPr>
          <w:p w:rsidR="00DF74EA" w:rsidRPr="00D3282A" w:rsidRDefault="00DF74EA" w:rsidP="00E36CCA">
            <w:pPr>
              <w:pStyle w:val="para"/>
            </w:pPr>
            <w:r w:rsidRPr="00880BD1">
              <w:t>Les stocks de début d’année ont été écoulés en N, générant de la trésorerie. De même, les montants dans les postes clients ont été encaissés en N. Les dettes ont été payées en N.</w:t>
            </w:r>
          </w:p>
        </w:tc>
      </w:tr>
    </w:tbl>
    <w:p w:rsidR="00DF74EA" w:rsidRPr="00DF74EA" w:rsidRDefault="00DF74EA" w:rsidP="00DF74EA">
      <w:pPr>
        <w:jc w:val="center"/>
        <w:rPr>
          <w:b/>
        </w:rPr>
      </w:pPr>
    </w:p>
    <w:sectPr w:rsidR="00DF74EA" w:rsidRPr="00DF74EA" w:rsidSect="002944A4">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DF74EA"/>
    <w:rsid w:val="0008364F"/>
    <w:rsid w:val="000A0FE2"/>
    <w:rsid w:val="0022692E"/>
    <w:rsid w:val="002944A4"/>
    <w:rsid w:val="0062572C"/>
    <w:rsid w:val="00632BEA"/>
    <w:rsid w:val="00651D2F"/>
    <w:rsid w:val="00943401"/>
    <w:rsid w:val="00A74B3F"/>
    <w:rsid w:val="00B72ED8"/>
    <w:rsid w:val="00C1244C"/>
    <w:rsid w:val="00DF74EA"/>
    <w:rsid w:val="00EF5CA4"/>
    <w:rsid w:val="00FB56B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CA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
    <w:name w:val="para"/>
    <w:basedOn w:val="Normal"/>
    <w:rsid w:val="00DF74EA"/>
    <w:pPr>
      <w:jc w:val="both"/>
    </w:pPr>
    <w:rPr>
      <w:rFonts w:eastAsia="Times New Roman" w:cs="Times New Roman"/>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483</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JANUARIO</dc:creator>
  <cp:keywords/>
  <dc:description/>
  <cp:lastModifiedBy>Carlos JANUARIO</cp:lastModifiedBy>
  <cp:revision>5</cp:revision>
  <dcterms:created xsi:type="dcterms:W3CDTF">2011-02-24T18:29:00Z</dcterms:created>
  <dcterms:modified xsi:type="dcterms:W3CDTF">2011-03-02T07:37:00Z</dcterms:modified>
</cp:coreProperties>
</file>