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A5210A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5210A">
        <w:rPr>
          <w:bCs/>
          <w:snapToGrid w:val="0"/>
          <w:color w:val="FF0000"/>
          <w:szCs w:val="24"/>
        </w:rPr>
        <w:t>GOUJON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B030E" w:rsidRDefault="00040793" w:rsidP="00192576">
      <w:pPr>
        <w:pStyle w:val="Titre2"/>
        <w:numPr>
          <w:ilvl w:val="0"/>
          <w:numId w:val="0"/>
        </w:numPr>
        <w:jc w:val="center"/>
        <w:rPr>
          <w:snapToGrid w:val="0"/>
        </w:rPr>
      </w:pPr>
      <w:bookmarkStart w:id="0" w:name="_Toc322871113"/>
      <w:r>
        <w:rPr>
          <w:snapToGrid w:val="0"/>
        </w:rPr>
        <w:t>DOCUMENT 7</w:t>
      </w:r>
    </w:p>
    <w:p w:rsidR="00C571A6" w:rsidRDefault="00C571A6" w:rsidP="002877E4"/>
    <w:tbl>
      <w:tblPr>
        <w:tblStyle w:val="Grilledutableau"/>
        <w:tblW w:w="98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889"/>
      </w:tblGrid>
      <w:tr w:rsidR="001B13D2" w:rsidTr="000E250A">
        <w:trPr>
          <w:jc w:val="center"/>
        </w:trPr>
        <w:tc>
          <w:tcPr>
            <w:tcW w:w="9889" w:type="dxa"/>
            <w:shd w:val="clear" w:color="auto" w:fill="D99594" w:themeFill="accent2" w:themeFillTint="99"/>
          </w:tcPr>
          <w:p w:rsidR="001B13D2" w:rsidRDefault="001B13D2" w:rsidP="000E250A">
            <w:pPr>
              <w:jc w:val="center"/>
            </w:pPr>
            <w:r w:rsidRPr="00B42B8C">
              <w:rPr>
                <w:szCs w:val="24"/>
              </w:rPr>
              <w:t>Informations utiles pour la présentation du tableau des flux de trésorerie</w:t>
            </w:r>
          </w:p>
        </w:tc>
      </w:tr>
      <w:tr w:rsidR="001B13D2" w:rsidRPr="00B3418F" w:rsidTr="000E250A">
        <w:trPr>
          <w:jc w:val="center"/>
        </w:trPr>
        <w:tc>
          <w:tcPr>
            <w:tcW w:w="9889" w:type="dxa"/>
          </w:tcPr>
          <w:p w:rsidR="001B13D2" w:rsidRPr="001B13D2" w:rsidRDefault="001B13D2" w:rsidP="001B13D2">
            <w:pPr>
              <w:spacing w:before="120"/>
              <w:jc w:val="both"/>
              <w:rPr>
                <w:b w:val="0"/>
                <w:szCs w:val="24"/>
              </w:rPr>
            </w:pPr>
            <w:r w:rsidRPr="001B13D2">
              <w:rPr>
                <w:b w:val="0"/>
                <w:szCs w:val="24"/>
              </w:rPr>
              <w:t>Les Valeurs Mobilières de Placement réalisables immédiatement sont considérées comme des quasi-disponibilités et donc un élément de trésorerie.</w:t>
            </w:r>
          </w:p>
          <w:p w:rsidR="001B13D2" w:rsidRPr="001B13D2" w:rsidRDefault="001B13D2" w:rsidP="001B13D2">
            <w:pPr>
              <w:spacing w:before="120"/>
              <w:jc w:val="both"/>
              <w:rPr>
                <w:b w:val="0"/>
                <w:szCs w:val="24"/>
              </w:rPr>
            </w:pPr>
            <w:r w:rsidRPr="001B13D2">
              <w:rPr>
                <w:b w:val="0"/>
                <w:szCs w:val="24"/>
              </w:rPr>
              <w:t>Les Concours Bancaires Courants à échéance de moyen terme font partie des dettes financières durables.</w:t>
            </w:r>
          </w:p>
          <w:p w:rsidR="001B13D2" w:rsidRPr="001B13D2" w:rsidRDefault="001B13D2" w:rsidP="001B13D2">
            <w:pPr>
              <w:spacing w:before="120"/>
              <w:jc w:val="both"/>
              <w:rPr>
                <w:b w:val="0"/>
                <w:szCs w:val="24"/>
              </w:rPr>
            </w:pPr>
            <w:r w:rsidRPr="001B13D2">
              <w:rPr>
                <w:b w:val="0"/>
                <w:szCs w:val="24"/>
              </w:rPr>
              <w:t>Les variations de stocks et des créances d’exploitation doivent être évaluées en valeurs nettes.</w:t>
            </w:r>
          </w:p>
          <w:p w:rsidR="001B13D2" w:rsidRPr="001B13D2" w:rsidRDefault="001B13D2" w:rsidP="001B13D2">
            <w:pPr>
              <w:spacing w:before="120"/>
              <w:jc w:val="both"/>
              <w:rPr>
                <w:b w:val="0"/>
                <w:szCs w:val="24"/>
              </w:rPr>
            </w:pPr>
            <w:r w:rsidRPr="001B13D2">
              <w:rPr>
                <w:b w:val="0"/>
                <w:szCs w:val="24"/>
              </w:rPr>
              <w:t>L’impact de la fiscalité sur les plus et moins values de cessions est insignifiant.</w:t>
            </w:r>
          </w:p>
          <w:p w:rsidR="001B13D2" w:rsidRPr="001B13D2" w:rsidRDefault="001B13D2" w:rsidP="001B13D2">
            <w:pPr>
              <w:spacing w:before="120"/>
              <w:jc w:val="both"/>
              <w:rPr>
                <w:b w:val="0"/>
                <w:szCs w:val="24"/>
              </w:rPr>
            </w:pPr>
            <w:r w:rsidRPr="001B13D2">
              <w:rPr>
                <w:b w:val="0"/>
                <w:szCs w:val="24"/>
              </w:rPr>
              <w:t>Autres créances liées à l’activité </w:t>
            </w:r>
            <w:r>
              <w:rPr>
                <w:b w:val="0"/>
                <w:szCs w:val="24"/>
              </w:rPr>
              <w:t xml:space="preserve">: augmentation de </w:t>
            </w:r>
            <w:r w:rsidRPr="001B13D2">
              <w:rPr>
                <w:b w:val="0"/>
                <w:szCs w:val="24"/>
              </w:rPr>
              <w:t>4 200 €</w:t>
            </w:r>
            <w:r>
              <w:rPr>
                <w:b w:val="0"/>
                <w:szCs w:val="24"/>
              </w:rPr>
              <w:t>.</w:t>
            </w:r>
          </w:p>
          <w:p w:rsidR="001B13D2" w:rsidRPr="00B3418F" w:rsidRDefault="001B13D2" w:rsidP="001B13D2">
            <w:pPr>
              <w:spacing w:before="120" w:after="120"/>
              <w:jc w:val="both"/>
              <w:rPr>
                <w:b w:val="0"/>
                <w:szCs w:val="24"/>
              </w:rPr>
            </w:pPr>
            <w:r w:rsidRPr="001B13D2">
              <w:rPr>
                <w:b w:val="0"/>
                <w:szCs w:val="24"/>
              </w:rPr>
              <w:t>A</w:t>
            </w:r>
            <w:r>
              <w:rPr>
                <w:b w:val="0"/>
                <w:szCs w:val="24"/>
              </w:rPr>
              <w:t xml:space="preserve">utres dettes liées à l’activité </w:t>
            </w:r>
            <w:r w:rsidRPr="001B13D2">
              <w:rPr>
                <w:b w:val="0"/>
                <w:szCs w:val="24"/>
              </w:rPr>
              <w:t>: augmentation de 10 514 €</w:t>
            </w:r>
            <w:r>
              <w:rPr>
                <w:b w:val="0"/>
                <w:szCs w:val="24"/>
              </w:rPr>
              <w:t>.</w:t>
            </w:r>
          </w:p>
        </w:tc>
      </w:tr>
    </w:tbl>
    <w:p w:rsidR="003F35D9" w:rsidRPr="001B13D2" w:rsidRDefault="003F35D9" w:rsidP="002877E4">
      <w:pPr>
        <w:rPr>
          <w:b w:val="0"/>
        </w:rPr>
      </w:pPr>
    </w:p>
    <w:p w:rsidR="003F35D9" w:rsidRDefault="003F35D9" w:rsidP="002877E4"/>
    <w:p w:rsidR="005323A6" w:rsidRDefault="005323A6" w:rsidP="005323A6"/>
    <w:bookmarkEnd w:id="0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FD6" w:rsidRDefault="00A94FD6">
      <w:r>
        <w:separator/>
      </w:r>
    </w:p>
  </w:endnote>
  <w:endnote w:type="continuationSeparator" w:id="0">
    <w:p w:rsidR="00A94FD6" w:rsidRDefault="00A94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76" w:rsidRPr="0031680C" w:rsidRDefault="00492F8A" w:rsidP="00192576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Pr="0031680C" w:rsidRDefault="00492F8A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FD6" w:rsidRDefault="00A94FD6">
      <w:r>
        <w:separator/>
      </w:r>
    </w:p>
  </w:footnote>
  <w:footnote w:type="continuationSeparator" w:id="0">
    <w:p w:rsidR="00A94FD6" w:rsidRDefault="00A94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0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2"/>
  </w:num>
  <w:num w:numId="5">
    <w:abstractNumId w:val="40"/>
  </w:num>
  <w:num w:numId="6">
    <w:abstractNumId w:val="37"/>
  </w:num>
  <w:num w:numId="7">
    <w:abstractNumId w:val="18"/>
  </w:num>
  <w:num w:numId="8">
    <w:abstractNumId w:val="7"/>
  </w:num>
  <w:num w:numId="9">
    <w:abstractNumId w:val="30"/>
  </w:num>
  <w:num w:numId="10">
    <w:abstractNumId w:val="1"/>
  </w:num>
  <w:num w:numId="11">
    <w:abstractNumId w:val="17"/>
  </w:num>
  <w:num w:numId="12">
    <w:abstractNumId w:val="4"/>
  </w:num>
  <w:num w:numId="13">
    <w:abstractNumId w:val="10"/>
  </w:num>
  <w:num w:numId="14">
    <w:abstractNumId w:val="26"/>
  </w:num>
  <w:num w:numId="15">
    <w:abstractNumId w:val="16"/>
  </w:num>
  <w:num w:numId="16">
    <w:abstractNumId w:val="14"/>
  </w:num>
  <w:num w:numId="17">
    <w:abstractNumId w:val="39"/>
  </w:num>
  <w:num w:numId="18">
    <w:abstractNumId w:val="38"/>
  </w:num>
  <w:num w:numId="19">
    <w:abstractNumId w:val="24"/>
  </w:num>
  <w:num w:numId="20">
    <w:abstractNumId w:val="28"/>
  </w:num>
  <w:num w:numId="21">
    <w:abstractNumId w:val="12"/>
  </w:num>
  <w:num w:numId="22">
    <w:abstractNumId w:val="36"/>
  </w:num>
  <w:num w:numId="23">
    <w:abstractNumId w:val="29"/>
  </w:num>
  <w:num w:numId="24">
    <w:abstractNumId w:val="15"/>
  </w:num>
  <w:num w:numId="25">
    <w:abstractNumId w:val="25"/>
  </w:num>
  <w:num w:numId="26">
    <w:abstractNumId w:val="20"/>
  </w:num>
  <w:num w:numId="27">
    <w:abstractNumId w:val="8"/>
  </w:num>
  <w:num w:numId="28">
    <w:abstractNumId w:val="33"/>
  </w:num>
  <w:num w:numId="29">
    <w:abstractNumId w:val="27"/>
  </w:num>
  <w:num w:numId="30">
    <w:abstractNumId w:val="31"/>
  </w:num>
  <w:num w:numId="31">
    <w:abstractNumId w:val="6"/>
  </w:num>
  <w:num w:numId="32">
    <w:abstractNumId w:val="22"/>
  </w:num>
  <w:num w:numId="33">
    <w:abstractNumId w:val="21"/>
  </w:num>
  <w:num w:numId="34">
    <w:abstractNumId w:val="9"/>
  </w:num>
  <w:num w:numId="35">
    <w:abstractNumId w:val="5"/>
  </w:num>
  <w:num w:numId="36">
    <w:abstractNumId w:val="11"/>
  </w:num>
  <w:num w:numId="37">
    <w:abstractNumId w:val="34"/>
  </w:num>
  <w:num w:numId="38">
    <w:abstractNumId w:val="41"/>
  </w:num>
  <w:num w:numId="39">
    <w:abstractNumId w:val="19"/>
  </w:num>
  <w:num w:numId="40">
    <w:abstractNumId w:val="35"/>
  </w:num>
  <w:num w:numId="41">
    <w:abstractNumId w:val="3"/>
  </w:num>
  <w:num w:numId="4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11C46"/>
    <w:rsid w:val="00036177"/>
    <w:rsid w:val="00040793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B7DDA"/>
    <w:rsid w:val="000D0D0E"/>
    <w:rsid w:val="000E1917"/>
    <w:rsid w:val="000E276B"/>
    <w:rsid w:val="000E4FCA"/>
    <w:rsid w:val="000E60F7"/>
    <w:rsid w:val="001033EF"/>
    <w:rsid w:val="00104B07"/>
    <w:rsid w:val="0010674F"/>
    <w:rsid w:val="00107C46"/>
    <w:rsid w:val="001314D9"/>
    <w:rsid w:val="001361E9"/>
    <w:rsid w:val="0014278C"/>
    <w:rsid w:val="00150190"/>
    <w:rsid w:val="00165A81"/>
    <w:rsid w:val="00192576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2F8A"/>
    <w:rsid w:val="00494EA4"/>
    <w:rsid w:val="004A4636"/>
    <w:rsid w:val="004B16FE"/>
    <w:rsid w:val="004B578C"/>
    <w:rsid w:val="004C6670"/>
    <w:rsid w:val="004D0998"/>
    <w:rsid w:val="004D171D"/>
    <w:rsid w:val="004D1B5A"/>
    <w:rsid w:val="004D4E0D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26A0"/>
    <w:rsid w:val="005E2E23"/>
    <w:rsid w:val="005E7660"/>
    <w:rsid w:val="005E775C"/>
    <w:rsid w:val="006113FB"/>
    <w:rsid w:val="00612691"/>
    <w:rsid w:val="00614FD2"/>
    <w:rsid w:val="006156A7"/>
    <w:rsid w:val="00624C2D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C1B03"/>
    <w:rsid w:val="007E06AA"/>
    <w:rsid w:val="007E73A2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37406"/>
    <w:rsid w:val="00A5210A"/>
    <w:rsid w:val="00A52844"/>
    <w:rsid w:val="00A74BC5"/>
    <w:rsid w:val="00A76FA3"/>
    <w:rsid w:val="00A77F6C"/>
    <w:rsid w:val="00A815C9"/>
    <w:rsid w:val="00A907B6"/>
    <w:rsid w:val="00A94FD6"/>
    <w:rsid w:val="00AA0A39"/>
    <w:rsid w:val="00AB1736"/>
    <w:rsid w:val="00AB4DB3"/>
    <w:rsid w:val="00AC2777"/>
    <w:rsid w:val="00AC62BA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75ED2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DE02E2"/>
    <w:rsid w:val="00E030C0"/>
    <w:rsid w:val="00E05B31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12149-AA78-47DA-8379-31B04BA2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24</vt:i4>
      </vt:variant>
    </vt:vector>
  </HeadingPairs>
  <TitlesOfParts>
    <vt:vector size="25" baseType="lpstr">
      <vt:lpstr>843 FC - GTDFA - TD</vt:lpstr>
      <vt:lpstr/>
      <vt:lpstr/>
      <vt:lpstr>1.1. Enoncé.</vt:lpstr>
      <vt:lpstr>1.2. Travail à faire.</vt:lpstr>
      <vt:lpstr/>
      <vt:lpstr/>
      <vt:lpstr>1.3. Documents.</vt:lpstr>
      <vt:lpstr>    1.3.1. Document 1.</vt:lpstr>
      <vt:lpstr>    </vt:lpstr>
      <vt:lpstr>    1.3.2. Document 2.</vt:lpstr>
      <vt:lpstr>    1.3.3. Document 3.</vt:lpstr>
      <vt:lpstr>    1.3.4. Document 4.</vt:lpstr>
      <vt:lpstr>    1.3.5. Document 5.</vt:lpstr>
      <vt:lpstr>    1.3.6. Document 6.</vt:lpstr>
      <vt:lpstr>    1.3.7. Document 7.</vt:lpstr>
      <vt:lpstr>    1.3.8. Document 8.</vt:lpstr>
      <vt:lpstr>1.4. Annexes.</vt:lpstr>
      <vt:lpstr>    1.4.1. Annexe 1.</vt:lpstr>
      <vt:lpstr>    </vt:lpstr>
      <vt:lpstr>    </vt:lpstr>
      <vt:lpstr>    </vt:lpstr>
      <vt:lpstr>    1.4.2. Annexe 2.</vt:lpstr>
      <vt:lpstr>    1.4.3. Annexe 3.</vt:lpstr>
      <vt:lpstr>    1.4.4. Annexe 4.</vt:lpstr>
    </vt:vector>
  </TitlesOfParts>
  <Manager>GEA Brive</Manager>
  <Company>IUT Limousin</Company>
  <LinksUpToDate>false</LinksUpToDate>
  <CharactersWithSpaces>818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princadj1</cp:lastModifiedBy>
  <cp:revision>3</cp:revision>
  <cp:lastPrinted>2012-03-06T17:03:00Z</cp:lastPrinted>
  <dcterms:created xsi:type="dcterms:W3CDTF">2013-01-30T19:57:00Z</dcterms:created>
  <dcterms:modified xsi:type="dcterms:W3CDTF">2013-01-31T14:07:00Z</dcterms:modified>
  <cp:category>IEL</cp:category>
</cp:coreProperties>
</file>