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C13D51" w:rsidRDefault="00C13D51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13D51">
        <w:rPr>
          <w:rFonts w:ascii="Times New Roman" w:hAnsi="Times New Roman"/>
          <w:b/>
          <w:color w:val="FF0000"/>
          <w:sz w:val="24"/>
          <w:szCs w:val="24"/>
        </w:rPr>
        <w:t>Série 5 - Variation de Trésorerie : Tableau des Flux de Trésorerie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C13D51">
        <w:rPr>
          <w:bCs/>
          <w:snapToGrid w:val="0"/>
          <w:color w:val="FF0000"/>
          <w:szCs w:val="24"/>
        </w:rPr>
        <w:t>5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A5210A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A5210A">
        <w:rPr>
          <w:bCs/>
          <w:snapToGrid w:val="0"/>
          <w:color w:val="FF0000"/>
          <w:szCs w:val="24"/>
        </w:rPr>
        <w:t>GOUJON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BC1621" w:rsidRPr="005E1764" w:rsidRDefault="00BC1621" w:rsidP="00BC1621">
      <w:pPr>
        <w:contextualSpacing/>
        <w:jc w:val="center"/>
        <w:rPr>
          <w:bCs/>
          <w:snapToGrid w:val="0"/>
          <w:szCs w:val="24"/>
        </w:rPr>
      </w:pPr>
      <w:bookmarkStart w:id="0" w:name="_Toc322871113"/>
      <w:r>
        <w:rPr>
          <w:bCs/>
          <w:snapToGrid w:val="0"/>
          <w:szCs w:val="24"/>
        </w:rPr>
        <w:t>ANNEXE 4</w:t>
      </w:r>
    </w:p>
    <w:p w:rsidR="00C571A6" w:rsidRDefault="00C571A6" w:rsidP="00C571A6"/>
    <w:tbl>
      <w:tblPr>
        <w:tblW w:w="9662" w:type="dxa"/>
        <w:jc w:val="center"/>
        <w:tblCellMar>
          <w:left w:w="70" w:type="dxa"/>
          <w:right w:w="70" w:type="dxa"/>
        </w:tblCellMar>
        <w:tblLook w:val="04A0"/>
      </w:tblPr>
      <w:tblGrid>
        <w:gridCol w:w="7948"/>
        <w:gridCol w:w="1714"/>
      </w:tblGrid>
      <w:tr w:rsidR="005323A6" w:rsidRPr="005323A6" w:rsidTr="00492F8A">
        <w:trPr>
          <w:trHeight w:val="273"/>
          <w:jc w:val="center"/>
        </w:trPr>
        <w:tc>
          <w:tcPr>
            <w:tcW w:w="96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5323A6">
              <w:rPr>
                <w:bCs/>
                <w:szCs w:val="24"/>
                <w:lang w:eastAsia="fr-FR"/>
              </w:rPr>
              <w:t>Entreprise GOUJON - TABLEAU DES FLUX DE TRESORERIE AU 31/12/N</w:t>
            </w: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5323A6">
              <w:rPr>
                <w:bCs/>
                <w:szCs w:val="24"/>
                <w:lang w:eastAsia="fr-FR"/>
              </w:rPr>
              <w:t>Flux de trésorerie liés à l'activité</w:t>
            </w:r>
          </w:p>
        </w:tc>
        <w:tc>
          <w:tcPr>
            <w:tcW w:w="171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D7E4BC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5323A6">
              <w:rPr>
                <w:bCs/>
                <w:sz w:val="20"/>
                <w:lang w:eastAsia="fr-FR"/>
              </w:rPr>
              <w:t>Exercice N</w:t>
            </w: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5323A6">
              <w:rPr>
                <w:bCs/>
                <w:szCs w:val="24"/>
                <w:lang w:eastAsia="fr-FR"/>
              </w:rPr>
              <w:t>Résultat d'exploitation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323A6">
              <w:rPr>
                <w:b w:val="0"/>
                <w:szCs w:val="24"/>
                <w:lang w:eastAsia="fr-FR"/>
              </w:rPr>
              <w:t>Elimination des charges et produits sans incidence sur la trésorerie ou non liés à l'activité: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323A6">
              <w:rPr>
                <w:b w:val="0"/>
                <w:szCs w:val="24"/>
                <w:lang w:eastAsia="fr-FR"/>
              </w:rPr>
              <w:t xml:space="preserve">  Amortissements, dépréciations et provisions (1)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323A6">
              <w:rPr>
                <w:b w:val="0"/>
                <w:szCs w:val="24"/>
                <w:lang w:eastAsia="fr-FR"/>
              </w:rPr>
              <w:t xml:space="preserve">  Transferts de charges au compte de charges à répartir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5323A6">
              <w:rPr>
                <w:bCs/>
                <w:szCs w:val="24"/>
                <w:lang w:eastAsia="fr-FR"/>
              </w:rPr>
              <w:t>Résultat brut d'exploitation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323A6">
              <w:rPr>
                <w:b w:val="0"/>
                <w:szCs w:val="24"/>
                <w:lang w:eastAsia="fr-FR"/>
              </w:rPr>
              <w:t xml:space="preserve"> Moins: Variation du besoin en fonds de roulement d'exploitation (2)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323A6">
              <w:rPr>
                <w:b w:val="0"/>
                <w:szCs w:val="24"/>
                <w:lang w:eastAsia="fr-FR"/>
              </w:rPr>
              <w:t xml:space="preserve">    Stocks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323A6">
              <w:rPr>
                <w:b w:val="0"/>
                <w:szCs w:val="24"/>
                <w:lang w:eastAsia="fr-FR"/>
              </w:rPr>
              <w:t xml:space="preserve">    Créances d'exploitation et acomptes versés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323A6">
              <w:rPr>
                <w:b w:val="0"/>
                <w:szCs w:val="24"/>
                <w:lang w:eastAsia="fr-FR"/>
              </w:rPr>
              <w:t xml:space="preserve">    Dettes d'exploitation et acomptes reçus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5323A6">
              <w:rPr>
                <w:bCs/>
                <w:szCs w:val="24"/>
                <w:lang w:eastAsia="fr-FR"/>
              </w:rPr>
              <w:t>Flux net de trésorerie d'exploitation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Cs/>
                <w:szCs w:val="24"/>
                <w:lang w:eastAsia="fr-FR"/>
              </w:rPr>
            </w:pPr>
            <w:r w:rsidRPr="005323A6">
              <w:rPr>
                <w:bCs/>
                <w:szCs w:val="24"/>
                <w:lang w:eastAsia="fr-FR"/>
              </w:rPr>
              <w:t>Autres encaissements et décaissements liés à l'activité: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323A6">
              <w:rPr>
                <w:b w:val="0"/>
                <w:szCs w:val="24"/>
                <w:lang w:eastAsia="fr-FR"/>
              </w:rPr>
              <w:t xml:space="preserve">  Frais financiers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323A6">
              <w:rPr>
                <w:b w:val="0"/>
                <w:szCs w:val="24"/>
                <w:lang w:eastAsia="fr-FR"/>
              </w:rPr>
              <w:t xml:space="preserve">  Produits financiers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323A6">
              <w:rPr>
                <w:b w:val="0"/>
                <w:szCs w:val="24"/>
                <w:lang w:eastAsia="fr-FR"/>
              </w:rPr>
              <w:t xml:space="preserve">  </w:t>
            </w:r>
            <w:r>
              <w:rPr>
                <w:b w:val="0"/>
                <w:szCs w:val="24"/>
                <w:lang w:eastAsia="fr-FR"/>
              </w:rPr>
              <w:t>Impôt sur les sociétés</w:t>
            </w:r>
            <w:r w:rsidRPr="005323A6">
              <w:rPr>
                <w:b w:val="0"/>
                <w:szCs w:val="24"/>
                <w:lang w:eastAsia="fr-FR"/>
              </w:rPr>
              <w:t>, hors impôt sur les plus-values de cession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323A6">
              <w:rPr>
                <w:b w:val="0"/>
                <w:szCs w:val="24"/>
                <w:lang w:eastAsia="fr-FR"/>
              </w:rPr>
              <w:t xml:space="preserve">  Charges et produits exceptionnels liés à l'activité (3)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323A6">
              <w:rPr>
                <w:b w:val="0"/>
                <w:szCs w:val="24"/>
                <w:lang w:eastAsia="fr-FR"/>
              </w:rPr>
              <w:t xml:space="preserve">  Autres créances liées à l'activité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323A6">
              <w:rPr>
                <w:b w:val="0"/>
                <w:szCs w:val="24"/>
                <w:lang w:eastAsia="fr-FR"/>
              </w:rPr>
              <w:t xml:space="preserve">  Autres dettes liées à l'activité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5323A6">
              <w:rPr>
                <w:bCs/>
                <w:szCs w:val="24"/>
                <w:lang w:eastAsia="fr-FR"/>
              </w:rPr>
              <w:t xml:space="preserve">  Flux net de trésorerie généré par l'activité (A)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Cs/>
                <w:szCs w:val="24"/>
                <w:lang w:eastAsia="fr-FR"/>
              </w:rPr>
            </w:pPr>
            <w:r w:rsidRPr="005323A6">
              <w:rPr>
                <w:bCs/>
                <w:szCs w:val="24"/>
                <w:lang w:eastAsia="fr-FR"/>
              </w:rPr>
              <w:t>Flux de trésorerie liés aux opérations d'investissement :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323A6">
              <w:rPr>
                <w:b w:val="0"/>
                <w:szCs w:val="24"/>
                <w:lang w:eastAsia="fr-FR"/>
              </w:rPr>
              <w:t xml:space="preserve"> Acquisitions d'immobilisations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323A6">
              <w:rPr>
                <w:b w:val="0"/>
                <w:szCs w:val="24"/>
                <w:lang w:eastAsia="fr-FR"/>
              </w:rPr>
              <w:t xml:space="preserve"> Cession d'immobilisations, nettes d'impôts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323A6">
              <w:rPr>
                <w:b w:val="0"/>
                <w:szCs w:val="24"/>
                <w:lang w:eastAsia="fr-FR"/>
              </w:rPr>
              <w:t xml:space="preserve"> Réduction  d'immobilisations financières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323A6">
              <w:rPr>
                <w:b w:val="0"/>
                <w:szCs w:val="24"/>
                <w:lang w:eastAsia="fr-FR"/>
              </w:rPr>
              <w:t>Variation des dettes et créances sur immobilisations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5323A6">
              <w:rPr>
                <w:bCs/>
                <w:szCs w:val="24"/>
                <w:lang w:eastAsia="fr-FR"/>
              </w:rPr>
              <w:t>Flux net de trésorerie lié aux opérations d'investissement (B)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Cs/>
                <w:szCs w:val="24"/>
                <w:lang w:eastAsia="fr-FR"/>
              </w:rPr>
            </w:pPr>
            <w:r w:rsidRPr="005323A6">
              <w:rPr>
                <w:bCs/>
                <w:szCs w:val="24"/>
                <w:lang w:eastAsia="fr-FR"/>
              </w:rPr>
              <w:t>Flux de trésorerie liés aux opérations de financement :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323A6">
              <w:rPr>
                <w:b w:val="0"/>
                <w:szCs w:val="24"/>
                <w:lang w:eastAsia="fr-FR"/>
              </w:rPr>
              <w:t>Dividendes versés aux actionnaires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323A6">
              <w:rPr>
                <w:b w:val="0"/>
                <w:szCs w:val="24"/>
                <w:lang w:eastAsia="fr-FR"/>
              </w:rPr>
              <w:t>Incidence des variations de capital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323A6">
              <w:rPr>
                <w:b w:val="0"/>
                <w:szCs w:val="24"/>
                <w:lang w:eastAsia="fr-FR"/>
              </w:rPr>
              <w:t>Emissions d'emprunts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323A6">
              <w:rPr>
                <w:b w:val="0"/>
                <w:szCs w:val="24"/>
                <w:lang w:eastAsia="fr-FR"/>
              </w:rPr>
              <w:t>Remboursements d'emprunts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323A6">
              <w:rPr>
                <w:b w:val="0"/>
                <w:szCs w:val="24"/>
                <w:lang w:eastAsia="fr-FR"/>
              </w:rPr>
              <w:t>Subventions d'investissement reçues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5323A6">
              <w:rPr>
                <w:bCs/>
                <w:szCs w:val="24"/>
                <w:lang w:eastAsia="fr-FR"/>
              </w:rPr>
              <w:t xml:space="preserve">Flux net de trésorerie lié aux opérations de financement </w:t>
            </w:r>
            <w:proofErr w:type="gramStart"/>
            <w:r w:rsidRPr="005323A6">
              <w:rPr>
                <w:bCs/>
                <w:szCs w:val="24"/>
                <w:lang w:eastAsia="fr-FR"/>
              </w:rPr>
              <w:t>( C</w:t>
            </w:r>
            <w:proofErr w:type="gramEnd"/>
            <w:r w:rsidRPr="005323A6">
              <w:rPr>
                <w:bCs/>
                <w:szCs w:val="24"/>
                <w:lang w:eastAsia="fr-FR"/>
              </w:rPr>
              <w:t xml:space="preserve"> 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5323A6">
              <w:rPr>
                <w:bCs/>
                <w:szCs w:val="24"/>
                <w:lang w:eastAsia="fr-FR"/>
              </w:rPr>
              <w:t>Variation de trésorerie (A+B+C)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323A6">
              <w:rPr>
                <w:b w:val="0"/>
                <w:szCs w:val="24"/>
                <w:lang w:eastAsia="fr-FR"/>
              </w:rPr>
              <w:t xml:space="preserve">Trésorerie d'ouverture 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323A6">
              <w:rPr>
                <w:b w:val="0"/>
                <w:szCs w:val="24"/>
                <w:lang w:eastAsia="fr-FR"/>
              </w:rPr>
              <w:t xml:space="preserve">Trésorerie de clôture 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5323A6">
              <w:rPr>
                <w:bCs/>
                <w:szCs w:val="24"/>
                <w:lang w:eastAsia="fr-FR"/>
              </w:rPr>
              <w:t>Vérification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323A6">
              <w:rPr>
                <w:b w:val="0"/>
                <w:szCs w:val="24"/>
                <w:lang w:eastAsia="fr-FR"/>
              </w:rPr>
              <w:t>(1) A l'exclusion des dépréciations d'exploitation sur actif circulant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323A6" w:rsidRPr="005323A6" w:rsidTr="00492F8A">
        <w:trPr>
          <w:trHeight w:val="261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323A6">
              <w:rPr>
                <w:b w:val="0"/>
                <w:szCs w:val="24"/>
                <w:lang w:eastAsia="fr-FR"/>
              </w:rPr>
              <w:t>(2) A calculer en valeurs nettes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323A6">
              <w:rPr>
                <w:b w:val="0"/>
                <w:sz w:val="20"/>
                <w:lang w:eastAsia="fr-FR"/>
              </w:rPr>
              <w:t> </w:t>
            </w:r>
          </w:p>
        </w:tc>
      </w:tr>
      <w:tr w:rsidR="005323A6" w:rsidRPr="005323A6" w:rsidTr="00492F8A">
        <w:trPr>
          <w:trHeight w:val="273"/>
          <w:jc w:val="center"/>
        </w:trPr>
        <w:tc>
          <w:tcPr>
            <w:tcW w:w="794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323A6">
              <w:rPr>
                <w:b w:val="0"/>
                <w:szCs w:val="24"/>
                <w:lang w:eastAsia="fr-FR"/>
              </w:rPr>
              <w:t>(3) A l'exclusion des produits des cessions d'éléments d'actif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323A6" w:rsidRPr="005323A6" w:rsidRDefault="005323A6" w:rsidP="00492F8A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323A6">
              <w:rPr>
                <w:b w:val="0"/>
                <w:sz w:val="20"/>
                <w:lang w:eastAsia="fr-FR"/>
              </w:rPr>
              <w:t> </w:t>
            </w:r>
          </w:p>
        </w:tc>
      </w:tr>
    </w:tbl>
    <w:p w:rsidR="005323A6" w:rsidRDefault="005323A6" w:rsidP="005323A6"/>
    <w:bookmarkEnd w:id="0"/>
    <w:p w:rsidR="005323A6" w:rsidRPr="00C571A6" w:rsidRDefault="005323A6" w:rsidP="00C571A6"/>
    <w:sectPr w:rsidR="005323A6" w:rsidRPr="00C571A6" w:rsidSect="005323A6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851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89D" w:rsidRDefault="00A4589D">
      <w:r>
        <w:separator/>
      </w:r>
    </w:p>
  </w:endnote>
  <w:endnote w:type="continuationSeparator" w:id="0">
    <w:p w:rsidR="00A4589D" w:rsidRDefault="00A45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F8A" w:rsidRDefault="00492F8A" w:rsidP="00BC1621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</w:t>
    </w:r>
    <w:r w:rsidR="00BC1621">
      <w:rPr>
        <w:iCs/>
        <w:sz w:val="18"/>
        <w:szCs w:val="18"/>
      </w:rPr>
      <w:t xml:space="preserve"> approfondi  - Daniel </w:t>
    </w:r>
    <w:proofErr w:type="spellStart"/>
    <w:r w:rsidR="00BC1621">
      <w:rPr>
        <w:iCs/>
        <w:sz w:val="18"/>
        <w:szCs w:val="18"/>
      </w:rPr>
      <w:t>Antraigue</w:t>
    </w:r>
    <w:proofErr w:type="spellEnd"/>
  </w:p>
  <w:p w:rsidR="00BC1621" w:rsidRPr="00BC1621" w:rsidRDefault="00BC1621" w:rsidP="00BC1621">
    <w:pPr>
      <w:pStyle w:val="Pieddepage"/>
      <w:rPr>
        <w:iCs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F8A" w:rsidRPr="0031680C" w:rsidRDefault="00492F8A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89D" w:rsidRDefault="00A4589D">
      <w:r>
        <w:separator/>
      </w:r>
    </w:p>
  </w:footnote>
  <w:footnote w:type="continuationSeparator" w:id="0">
    <w:p w:rsidR="00A4589D" w:rsidRDefault="00A458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A21AB"/>
    <w:multiLevelType w:val="hybridMultilevel"/>
    <w:tmpl w:val="8E5028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09489F"/>
    <w:multiLevelType w:val="hybridMultilevel"/>
    <w:tmpl w:val="60225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EC2D78"/>
    <w:multiLevelType w:val="hybridMultilevel"/>
    <w:tmpl w:val="2D44F1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5E2825"/>
    <w:multiLevelType w:val="multilevel"/>
    <w:tmpl w:val="8322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30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3E2D37"/>
    <w:multiLevelType w:val="hybridMultilevel"/>
    <w:tmpl w:val="054225E4"/>
    <w:lvl w:ilvl="0" w:tplc="0AE0B714">
      <w:start w:val="8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F34FA0"/>
    <w:multiLevelType w:val="hybridMultilevel"/>
    <w:tmpl w:val="D4AEA42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F0A64CD"/>
    <w:multiLevelType w:val="hybridMultilevel"/>
    <w:tmpl w:val="92E60B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3"/>
  </w:num>
  <w:num w:numId="4">
    <w:abstractNumId w:val="32"/>
  </w:num>
  <w:num w:numId="5">
    <w:abstractNumId w:val="40"/>
  </w:num>
  <w:num w:numId="6">
    <w:abstractNumId w:val="37"/>
  </w:num>
  <w:num w:numId="7">
    <w:abstractNumId w:val="18"/>
  </w:num>
  <w:num w:numId="8">
    <w:abstractNumId w:val="7"/>
  </w:num>
  <w:num w:numId="9">
    <w:abstractNumId w:val="30"/>
  </w:num>
  <w:num w:numId="10">
    <w:abstractNumId w:val="1"/>
  </w:num>
  <w:num w:numId="11">
    <w:abstractNumId w:val="17"/>
  </w:num>
  <w:num w:numId="12">
    <w:abstractNumId w:val="4"/>
  </w:num>
  <w:num w:numId="13">
    <w:abstractNumId w:val="10"/>
  </w:num>
  <w:num w:numId="14">
    <w:abstractNumId w:val="26"/>
  </w:num>
  <w:num w:numId="15">
    <w:abstractNumId w:val="16"/>
  </w:num>
  <w:num w:numId="16">
    <w:abstractNumId w:val="14"/>
  </w:num>
  <w:num w:numId="17">
    <w:abstractNumId w:val="39"/>
  </w:num>
  <w:num w:numId="18">
    <w:abstractNumId w:val="38"/>
  </w:num>
  <w:num w:numId="19">
    <w:abstractNumId w:val="24"/>
  </w:num>
  <w:num w:numId="20">
    <w:abstractNumId w:val="28"/>
  </w:num>
  <w:num w:numId="21">
    <w:abstractNumId w:val="12"/>
  </w:num>
  <w:num w:numId="22">
    <w:abstractNumId w:val="36"/>
  </w:num>
  <w:num w:numId="23">
    <w:abstractNumId w:val="29"/>
  </w:num>
  <w:num w:numId="24">
    <w:abstractNumId w:val="15"/>
  </w:num>
  <w:num w:numId="25">
    <w:abstractNumId w:val="25"/>
  </w:num>
  <w:num w:numId="26">
    <w:abstractNumId w:val="20"/>
  </w:num>
  <w:num w:numId="27">
    <w:abstractNumId w:val="8"/>
  </w:num>
  <w:num w:numId="28">
    <w:abstractNumId w:val="33"/>
  </w:num>
  <w:num w:numId="29">
    <w:abstractNumId w:val="27"/>
  </w:num>
  <w:num w:numId="30">
    <w:abstractNumId w:val="31"/>
  </w:num>
  <w:num w:numId="31">
    <w:abstractNumId w:val="6"/>
  </w:num>
  <w:num w:numId="32">
    <w:abstractNumId w:val="22"/>
  </w:num>
  <w:num w:numId="33">
    <w:abstractNumId w:val="21"/>
  </w:num>
  <w:num w:numId="34">
    <w:abstractNumId w:val="9"/>
  </w:num>
  <w:num w:numId="35">
    <w:abstractNumId w:val="5"/>
  </w:num>
  <w:num w:numId="36">
    <w:abstractNumId w:val="11"/>
  </w:num>
  <w:num w:numId="37">
    <w:abstractNumId w:val="34"/>
  </w:num>
  <w:num w:numId="38">
    <w:abstractNumId w:val="41"/>
  </w:num>
  <w:num w:numId="39">
    <w:abstractNumId w:val="19"/>
  </w:num>
  <w:num w:numId="40">
    <w:abstractNumId w:val="35"/>
  </w:num>
  <w:num w:numId="41">
    <w:abstractNumId w:val="3"/>
  </w:num>
  <w:num w:numId="42">
    <w:abstractNumId w:val="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0E4FCA"/>
    <w:rsid w:val="000E60F7"/>
    <w:rsid w:val="001033EF"/>
    <w:rsid w:val="00104B07"/>
    <w:rsid w:val="0010674F"/>
    <w:rsid w:val="001314D9"/>
    <w:rsid w:val="001361E9"/>
    <w:rsid w:val="0014278C"/>
    <w:rsid w:val="00150190"/>
    <w:rsid w:val="001A241A"/>
    <w:rsid w:val="001A6769"/>
    <w:rsid w:val="001B13D2"/>
    <w:rsid w:val="001B3615"/>
    <w:rsid w:val="001C04D5"/>
    <w:rsid w:val="001C4DAB"/>
    <w:rsid w:val="001D6E54"/>
    <w:rsid w:val="001F098C"/>
    <w:rsid w:val="001F6AEC"/>
    <w:rsid w:val="00205650"/>
    <w:rsid w:val="00206535"/>
    <w:rsid w:val="00215A63"/>
    <w:rsid w:val="002222D5"/>
    <w:rsid w:val="0022353B"/>
    <w:rsid w:val="00223BAE"/>
    <w:rsid w:val="00227FF1"/>
    <w:rsid w:val="00231608"/>
    <w:rsid w:val="002411FD"/>
    <w:rsid w:val="0024269D"/>
    <w:rsid w:val="0024482E"/>
    <w:rsid w:val="0025365D"/>
    <w:rsid w:val="00263567"/>
    <w:rsid w:val="002877E4"/>
    <w:rsid w:val="0029349C"/>
    <w:rsid w:val="002B7178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253B1"/>
    <w:rsid w:val="00335927"/>
    <w:rsid w:val="00341643"/>
    <w:rsid w:val="003506A4"/>
    <w:rsid w:val="003515AE"/>
    <w:rsid w:val="00356A2D"/>
    <w:rsid w:val="00361214"/>
    <w:rsid w:val="00361A1E"/>
    <w:rsid w:val="00370AA4"/>
    <w:rsid w:val="00385F14"/>
    <w:rsid w:val="003959A7"/>
    <w:rsid w:val="003A0639"/>
    <w:rsid w:val="003C657C"/>
    <w:rsid w:val="003E28E8"/>
    <w:rsid w:val="003F1568"/>
    <w:rsid w:val="003F3383"/>
    <w:rsid w:val="003F35D9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92F8A"/>
    <w:rsid w:val="00494EA4"/>
    <w:rsid w:val="004A4636"/>
    <w:rsid w:val="004B16FE"/>
    <w:rsid w:val="004B578C"/>
    <w:rsid w:val="004C6670"/>
    <w:rsid w:val="004D0998"/>
    <w:rsid w:val="004D171D"/>
    <w:rsid w:val="004D1B5A"/>
    <w:rsid w:val="004D4E0D"/>
    <w:rsid w:val="005036C6"/>
    <w:rsid w:val="00521BF9"/>
    <w:rsid w:val="00522098"/>
    <w:rsid w:val="005266B4"/>
    <w:rsid w:val="005323A6"/>
    <w:rsid w:val="0053489A"/>
    <w:rsid w:val="00561F79"/>
    <w:rsid w:val="005620AC"/>
    <w:rsid w:val="00570374"/>
    <w:rsid w:val="00597EF2"/>
    <w:rsid w:val="005A11B9"/>
    <w:rsid w:val="005A62EF"/>
    <w:rsid w:val="005B2121"/>
    <w:rsid w:val="005B48EF"/>
    <w:rsid w:val="005C7677"/>
    <w:rsid w:val="005D670A"/>
    <w:rsid w:val="005E1764"/>
    <w:rsid w:val="005E26A0"/>
    <w:rsid w:val="005E7660"/>
    <w:rsid w:val="005E775C"/>
    <w:rsid w:val="006113FB"/>
    <w:rsid w:val="00612691"/>
    <w:rsid w:val="00614FD2"/>
    <w:rsid w:val="006156A7"/>
    <w:rsid w:val="00624C2D"/>
    <w:rsid w:val="00627725"/>
    <w:rsid w:val="0064153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6F4878"/>
    <w:rsid w:val="00706688"/>
    <w:rsid w:val="00712F06"/>
    <w:rsid w:val="007223E1"/>
    <w:rsid w:val="00725CCB"/>
    <w:rsid w:val="00726B4D"/>
    <w:rsid w:val="00730D18"/>
    <w:rsid w:val="00751B27"/>
    <w:rsid w:val="0075509F"/>
    <w:rsid w:val="00781B7F"/>
    <w:rsid w:val="007856D2"/>
    <w:rsid w:val="0078703C"/>
    <w:rsid w:val="00790419"/>
    <w:rsid w:val="0079654A"/>
    <w:rsid w:val="00796583"/>
    <w:rsid w:val="007A23C2"/>
    <w:rsid w:val="007A6585"/>
    <w:rsid w:val="007B3B08"/>
    <w:rsid w:val="007C1B03"/>
    <w:rsid w:val="007E06AA"/>
    <w:rsid w:val="007E7681"/>
    <w:rsid w:val="007F799C"/>
    <w:rsid w:val="008051F2"/>
    <w:rsid w:val="00807242"/>
    <w:rsid w:val="008077B6"/>
    <w:rsid w:val="008415B0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017C"/>
    <w:rsid w:val="008C280C"/>
    <w:rsid w:val="008C4662"/>
    <w:rsid w:val="008D0F00"/>
    <w:rsid w:val="008E06BC"/>
    <w:rsid w:val="008F20C1"/>
    <w:rsid w:val="00915385"/>
    <w:rsid w:val="009255BB"/>
    <w:rsid w:val="009349BE"/>
    <w:rsid w:val="00934F5A"/>
    <w:rsid w:val="0094091D"/>
    <w:rsid w:val="00944A25"/>
    <w:rsid w:val="00945726"/>
    <w:rsid w:val="009459AE"/>
    <w:rsid w:val="0096418C"/>
    <w:rsid w:val="00984353"/>
    <w:rsid w:val="00984488"/>
    <w:rsid w:val="00992413"/>
    <w:rsid w:val="009A55A9"/>
    <w:rsid w:val="009B554F"/>
    <w:rsid w:val="009B60AD"/>
    <w:rsid w:val="009D0C96"/>
    <w:rsid w:val="009E10A8"/>
    <w:rsid w:val="009F06B3"/>
    <w:rsid w:val="009F185F"/>
    <w:rsid w:val="009F7F29"/>
    <w:rsid w:val="00A30CB6"/>
    <w:rsid w:val="00A4589D"/>
    <w:rsid w:val="00A5210A"/>
    <w:rsid w:val="00A52844"/>
    <w:rsid w:val="00A74BC5"/>
    <w:rsid w:val="00A76FA3"/>
    <w:rsid w:val="00A77F6C"/>
    <w:rsid w:val="00A815C9"/>
    <w:rsid w:val="00A907B6"/>
    <w:rsid w:val="00AA0A39"/>
    <w:rsid w:val="00AB1736"/>
    <w:rsid w:val="00AB4DB3"/>
    <w:rsid w:val="00AC2777"/>
    <w:rsid w:val="00AC62BA"/>
    <w:rsid w:val="00AD5AA6"/>
    <w:rsid w:val="00AE000D"/>
    <w:rsid w:val="00AE198B"/>
    <w:rsid w:val="00AE2540"/>
    <w:rsid w:val="00AF3E2D"/>
    <w:rsid w:val="00B05C5D"/>
    <w:rsid w:val="00B3418F"/>
    <w:rsid w:val="00B42B8C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C1621"/>
    <w:rsid w:val="00BD148E"/>
    <w:rsid w:val="00BD740F"/>
    <w:rsid w:val="00BE2459"/>
    <w:rsid w:val="00BE7BBD"/>
    <w:rsid w:val="00BF5F5B"/>
    <w:rsid w:val="00BF7BBE"/>
    <w:rsid w:val="00C063A2"/>
    <w:rsid w:val="00C12C9C"/>
    <w:rsid w:val="00C13D51"/>
    <w:rsid w:val="00C14EF5"/>
    <w:rsid w:val="00C16A29"/>
    <w:rsid w:val="00C17DB4"/>
    <w:rsid w:val="00C2012D"/>
    <w:rsid w:val="00C32F1F"/>
    <w:rsid w:val="00C3651E"/>
    <w:rsid w:val="00C40D69"/>
    <w:rsid w:val="00C43820"/>
    <w:rsid w:val="00C44066"/>
    <w:rsid w:val="00C469C3"/>
    <w:rsid w:val="00C571A6"/>
    <w:rsid w:val="00CA032C"/>
    <w:rsid w:val="00CA70DA"/>
    <w:rsid w:val="00CA740D"/>
    <w:rsid w:val="00CB0763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7F82"/>
    <w:rsid w:val="00DC4990"/>
    <w:rsid w:val="00DC4ADC"/>
    <w:rsid w:val="00DC6BBA"/>
    <w:rsid w:val="00DD000C"/>
    <w:rsid w:val="00DD017F"/>
    <w:rsid w:val="00DD2751"/>
    <w:rsid w:val="00DD5947"/>
    <w:rsid w:val="00E030C0"/>
    <w:rsid w:val="00E05B31"/>
    <w:rsid w:val="00E07B41"/>
    <w:rsid w:val="00E20B96"/>
    <w:rsid w:val="00E34BFF"/>
    <w:rsid w:val="00E355B9"/>
    <w:rsid w:val="00E36EF1"/>
    <w:rsid w:val="00E406D6"/>
    <w:rsid w:val="00E42AD8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B148F"/>
    <w:rsid w:val="00EC21F3"/>
    <w:rsid w:val="00EC6BDF"/>
    <w:rsid w:val="00ED151F"/>
    <w:rsid w:val="00ED1C43"/>
    <w:rsid w:val="00F060B7"/>
    <w:rsid w:val="00F07A63"/>
    <w:rsid w:val="00F12A0B"/>
    <w:rsid w:val="00F2762A"/>
    <w:rsid w:val="00F30A06"/>
    <w:rsid w:val="00F32A84"/>
    <w:rsid w:val="00F33519"/>
    <w:rsid w:val="00F34E75"/>
    <w:rsid w:val="00F351E7"/>
    <w:rsid w:val="00F45993"/>
    <w:rsid w:val="00F53212"/>
    <w:rsid w:val="00F53946"/>
    <w:rsid w:val="00F55D74"/>
    <w:rsid w:val="00F576D8"/>
    <w:rsid w:val="00F60E2D"/>
    <w:rsid w:val="00F6185D"/>
    <w:rsid w:val="00F6318F"/>
    <w:rsid w:val="00F647EF"/>
    <w:rsid w:val="00F66B5D"/>
    <w:rsid w:val="00F80137"/>
    <w:rsid w:val="00F85FDF"/>
    <w:rsid w:val="00F871BF"/>
    <w:rsid w:val="00F93B22"/>
    <w:rsid w:val="00FA38E6"/>
    <w:rsid w:val="00FA502E"/>
    <w:rsid w:val="00FB030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4A859-C45C-49A2-8418-ED9B807C5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8</vt:i4>
      </vt:variant>
    </vt:vector>
  </HeadingPairs>
  <TitlesOfParts>
    <vt:vector size="9" baseType="lpstr">
      <vt:lpstr>843 FC - GTDFA - TD</vt:lpstr>
      <vt:lpstr/>
      <vt:lpstr/>
      <vt:lpstr>    </vt:lpstr>
      <vt:lpstr>    </vt:lpstr>
      <vt:lpstr>    </vt:lpstr>
      <vt:lpstr>    </vt:lpstr>
      <vt:lpstr>    1.4.3. Annexe 3.</vt:lpstr>
      <vt:lpstr>    1.4.4. Annexe 4.</vt:lpstr>
    </vt:vector>
  </TitlesOfParts>
  <Manager>GEA Brive</Manager>
  <Company>IUT Limousin</Company>
  <LinksUpToDate>false</LinksUpToDate>
  <CharactersWithSpaces>2007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princadj1</cp:lastModifiedBy>
  <cp:revision>3</cp:revision>
  <cp:lastPrinted>2012-03-06T17:03:00Z</cp:lastPrinted>
  <dcterms:created xsi:type="dcterms:W3CDTF">2013-01-30T19:51:00Z</dcterms:created>
  <dcterms:modified xsi:type="dcterms:W3CDTF">2013-02-01T07:40:00Z</dcterms:modified>
  <cp:category>IEL</cp:category>
</cp:coreProperties>
</file>