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5B42A1">
      <w:pPr>
        <w:spacing w:before="12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C13D51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C13D51">
        <w:rPr>
          <w:bCs/>
          <w:snapToGrid w:val="0"/>
          <w:color w:val="FF0000"/>
          <w:szCs w:val="24"/>
        </w:rPr>
        <w:t>SANDRE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837AE5" w:rsidRDefault="00837AE5" w:rsidP="00706688">
      <w:pPr>
        <w:pStyle w:val="Titre2"/>
        <w:numPr>
          <w:ilvl w:val="0"/>
          <w:numId w:val="0"/>
        </w:numPr>
        <w:ind w:left="708"/>
        <w:rPr>
          <w:snapToGrid w:val="0"/>
        </w:rPr>
      </w:pPr>
      <w:bookmarkStart w:id="0" w:name="_Toc322871113"/>
      <w:bookmarkStart w:id="1" w:name="_Toc346991924"/>
    </w:p>
    <w:bookmarkEnd w:id="1"/>
    <w:p w:rsidR="005B42A1" w:rsidRPr="005B42A1" w:rsidRDefault="005B42A1" w:rsidP="005B42A1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ANNEXE 3</w:t>
      </w:r>
    </w:p>
    <w:p w:rsidR="00E355B9" w:rsidRDefault="00E355B9" w:rsidP="00F55D74">
      <w:pPr>
        <w:contextualSpacing/>
        <w:jc w:val="both"/>
        <w:rPr>
          <w:b w:val="0"/>
          <w:szCs w:val="24"/>
        </w:rPr>
      </w:pPr>
    </w:p>
    <w:tbl>
      <w:tblPr>
        <w:tblW w:w="9245" w:type="dxa"/>
        <w:jc w:val="center"/>
        <w:tblCellMar>
          <w:left w:w="70" w:type="dxa"/>
          <w:right w:w="70" w:type="dxa"/>
        </w:tblCellMar>
        <w:tblLook w:val="04A0"/>
      </w:tblPr>
      <w:tblGrid>
        <w:gridCol w:w="7577"/>
        <w:gridCol w:w="1668"/>
      </w:tblGrid>
      <w:tr w:rsidR="00614FD2" w:rsidRPr="00614FD2" w:rsidTr="009E10A8">
        <w:trPr>
          <w:trHeight w:val="309"/>
          <w:jc w:val="center"/>
        </w:trPr>
        <w:tc>
          <w:tcPr>
            <w:tcW w:w="9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bookmarkEnd w:id="0"/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Entreprise SANDRE - TABLEAU DES FLUX DE TRESORERIE de l'exercice N</w:t>
            </w:r>
            <w:r w:rsidRPr="00614FD2">
              <w:rPr>
                <w:bCs/>
                <w:szCs w:val="24"/>
                <w:lang w:eastAsia="fr-FR"/>
              </w:rPr>
              <w:br/>
              <w:t>(en milliers d'€ ou K€)</w:t>
            </w: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Flux de trésorerie liés à l'activité</w:t>
            </w:r>
          </w:p>
        </w:tc>
        <w:tc>
          <w:tcPr>
            <w:tcW w:w="166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Exercice N</w:t>
            </w:r>
          </w:p>
        </w:tc>
      </w:tr>
      <w:tr w:rsidR="00614FD2" w:rsidRPr="00614FD2" w:rsidTr="009E10A8">
        <w:trPr>
          <w:trHeight w:val="148"/>
          <w:jc w:val="center"/>
        </w:trPr>
        <w:tc>
          <w:tcPr>
            <w:tcW w:w="757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Cs/>
                <w:i/>
                <w:iCs/>
                <w:szCs w:val="24"/>
                <w:lang w:eastAsia="fr-FR"/>
              </w:rPr>
            </w:pPr>
            <w:r w:rsidRPr="00614FD2">
              <w:rPr>
                <w:bCs/>
                <w:i/>
                <w:iCs/>
                <w:szCs w:val="24"/>
                <w:lang w:eastAsia="fr-FR"/>
              </w:rPr>
              <w:t>RESULTAT NET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8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i/>
                <w:iCs/>
                <w:szCs w:val="24"/>
                <w:lang w:eastAsia="fr-FR"/>
              </w:rPr>
            </w:pPr>
            <w:r w:rsidRPr="00614FD2">
              <w:rPr>
                <w:b w:val="0"/>
                <w:i/>
                <w:iCs/>
                <w:szCs w:val="24"/>
                <w:lang w:eastAsia="fr-FR"/>
              </w:rPr>
              <w:t>Elimination des charges et produits sans incidence sur la trésorerie ou non liés à l'activité :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8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Dotations aux Amortissements, Dépréciations et Provisions (1)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8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Transferts de charges au compte de charges à répartir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8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Valeurs Comptables des éléments d'actif cédés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8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Produits de cessions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Quotes-parts de subventions d'investissement virées au résultat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i/>
                <w:iCs/>
                <w:szCs w:val="24"/>
                <w:lang w:eastAsia="fr-FR"/>
              </w:rPr>
            </w:pPr>
            <w:r w:rsidRPr="00614FD2">
              <w:rPr>
                <w:bCs/>
                <w:i/>
                <w:iCs/>
                <w:szCs w:val="24"/>
                <w:lang w:eastAsia="fr-FR"/>
              </w:rPr>
              <w:t>Marge brute d'autofinancement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Variations de stocks (2)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Variations des créances d'exploitation (2)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Variations des dettes d'exploitation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Variations des Autres créances liées à l'activité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Variations des Autres dettes liées à l'activité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i/>
                <w:iCs/>
                <w:szCs w:val="24"/>
                <w:lang w:eastAsia="fr-FR"/>
              </w:rPr>
            </w:pPr>
            <w:r w:rsidRPr="00614FD2">
              <w:rPr>
                <w:bCs/>
                <w:i/>
                <w:iCs/>
                <w:szCs w:val="24"/>
                <w:lang w:eastAsia="fr-FR"/>
              </w:rPr>
              <w:t>Moins : variation du Besoin en Fonds de Roulement lié à l'activité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i/>
                <w:iCs/>
                <w:szCs w:val="24"/>
                <w:lang w:eastAsia="fr-FR"/>
              </w:rPr>
            </w:pPr>
            <w:r w:rsidRPr="00614FD2">
              <w:rPr>
                <w:bCs/>
                <w:i/>
                <w:iCs/>
                <w:szCs w:val="24"/>
                <w:lang w:eastAsia="fr-FR"/>
              </w:rPr>
              <w:t xml:space="preserve">  Flux net de trésorerie généré par l'activité (A)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Flux de trésorerie liés aux opérations d'investissement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 xml:space="preserve"> Acquisitions d'immobilisations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 xml:space="preserve"> Cession d'immobilisations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 xml:space="preserve"> Réduction  d'immobilisations financières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Variation des dettes et créances sur immobilisations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i/>
                <w:iCs/>
                <w:szCs w:val="24"/>
                <w:lang w:eastAsia="fr-FR"/>
              </w:rPr>
            </w:pPr>
            <w:r w:rsidRPr="00614FD2">
              <w:rPr>
                <w:bCs/>
                <w:i/>
                <w:iCs/>
                <w:szCs w:val="24"/>
                <w:lang w:eastAsia="fr-FR"/>
              </w:rPr>
              <w:t>Flux net de trésorerie lié aux opérations d'investissement (B)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Flux de trésorerie liés aux opérations de financement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Augmentation de capital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Réduction de capital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Dividendes versés aux actionnaires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Emissions d'emprunts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Remboursements d'emprunts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Subventions d'investissement reçues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i/>
                <w:iCs/>
                <w:szCs w:val="24"/>
                <w:lang w:eastAsia="fr-FR"/>
              </w:rPr>
            </w:pPr>
            <w:r w:rsidRPr="00614FD2">
              <w:rPr>
                <w:bCs/>
                <w:i/>
                <w:iCs/>
                <w:szCs w:val="24"/>
                <w:lang w:eastAsia="fr-FR"/>
              </w:rPr>
              <w:t>Flux net de trésorerie lié au</w:t>
            </w:r>
            <w:r w:rsidR="009E10A8">
              <w:rPr>
                <w:bCs/>
                <w:i/>
                <w:iCs/>
                <w:szCs w:val="24"/>
                <w:lang w:eastAsia="fr-FR"/>
              </w:rPr>
              <w:t>x opérations de financement  (</w:t>
            </w:r>
            <w:r w:rsidRPr="00614FD2">
              <w:rPr>
                <w:bCs/>
                <w:i/>
                <w:iCs/>
                <w:szCs w:val="24"/>
                <w:lang w:eastAsia="fr-FR"/>
              </w:rPr>
              <w:t>C)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i/>
                <w:iCs/>
                <w:szCs w:val="24"/>
                <w:lang w:eastAsia="fr-FR"/>
              </w:rPr>
            </w:pPr>
            <w:r w:rsidRPr="00614FD2">
              <w:rPr>
                <w:bCs/>
                <w:i/>
                <w:iCs/>
                <w:szCs w:val="24"/>
                <w:lang w:eastAsia="fr-FR"/>
              </w:rPr>
              <w:t>Variation de trésorerie  (A + B + C)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AC090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 xml:space="preserve">Trésorerie d'ouverture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 xml:space="preserve">Trésorerie de clôture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Contrôle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i/>
                <w:iCs/>
                <w:szCs w:val="24"/>
                <w:lang w:eastAsia="fr-FR"/>
              </w:rPr>
            </w:pPr>
            <w:r w:rsidRPr="00614FD2">
              <w:rPr>
                <w:b w:val="0"/>
                <w:i/>
                <w:iCs/>
                <w:szCs w:val="24"/>
                <w:lang w:eastAsia="fr-FR"/>
              </w:rPr>
              <w:t>(1) A l'exclusion des dépréciations d'exploitation sur actif circulant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614FD2" w:rsidRPr="00614FD2" w:rsidTr="009E10A8">
        <w:trPr>
          <w:trHeight w:val="149"/>
          <w:jc w:val="center"/>
        </w:trPr>
        <w:tc>
          <w:tcPr>
            <w:tcW w:w="75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rPr>
                <w:b w:val="0"/>
                <w:i/>
                <w:iCs/>
                <w:szCs w:val="24"/>
                <w:lang w:eastAsia="fr-FR"/>
              </w:rPr>
            </w:pPr>
            <w:r w:rsidRPr="00614FD2">
              <w:rPr>
                <w:b w:val="0"/>
                <w:i/>
                <w:iCs/>
                <w:szCs w:val="24"/>
                <w:lang w:eastAsia="fr-FR"/>
              </w:rPr>
              <w:t>(2) A calculer en valeurs nettes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 </w:t>
            </w:r>
          </w:p>
        </w:tc>
      </w:tr>
    </w:tbl>
    <w:p w:rsidR="00ED151F" w:rsidRDefault="00ED151F" w:rsidP="00706688">
      <w:pPr>
        <w:contextualSpacing/>
        <w:jc w:val="both"/>
        <w:rPr>
          <w:b w:val="0"/>
          <w:szCs w:val="24"/>
        </w:rPr>
      </w:pPr>
    </w:p>
    <w:sectPr w:rsidR="00ED151F" w:rsidSect="005B42A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34" w:rsidRDefault="00176A34">
      <w:r>
        <w:separator/>
      </w:r>
    </w:p>
  </w:endnote>
  <w:endnote w:type="continuationSeparator" w:id="0">
    <w:p w:rsidR="00176A34" w:rsidRDefault="00176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3B" w:rsidRPr="0031680C" w:rsidRDefault="0060793B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3B" w:rsidRPr="005B42A1" w:rsidRDefault="0060793B" w:rsidP="005B42A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5B42A1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34" w:rsidRDefault="00176A34">
      <w:r>
        <w:separator/>
      </w:r>
    </w:p>
  </w:footnote>
  <w:footnote w:type="continuationSeparator" w:id="0">
    <w:p w:rsidR="00176A34" w:rsidRDefault="00176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1"/>
  </w:num>
  <w:num w:numId="20">
    <w:abstractNumId w:val="25"/>
  </w:num>
  <w:num w:numId="21">
    <w:abstractNumId w:val="10"/>
  </w:num>
  <w:num w:numId="22">
    <w:abstractNumId w:val="32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 w:numId="37">
    <w:abstractNumId w:val="31"/>
  </w:num>
  <w:num w:numId="38">
    <w:abstractNumId w:val="3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12146"/>
    <w:rsid w:val="001314D9"/>
    <w:rsid w:val="001361E9"/>
    <w:rsid w:val="00150190"/>
    <w:rsid w:val="00176A34"/>
    <w:rsid w:val="001A241A"/>
    <w:rsid w:val="001A6769"/>
    <w:rsid w:val="001B3615"/>
    <w:rsid w:val="001C04D5"/>
    <w:rsid w:val="001C1C4A"/>
    <w:rsid w:val="001C4DAB"/>
    <w:rsid w:val="001D6E54"/>
    <w:rsid w:val="001E53C8"/>
    <w:rsid w:val="001F098C"/>
    <w:rsid w:val="001F6AEC"/>
    <w:rsid w:val="00205650"/>
    <w:rsid w:val="00206535"/>
    <w:rsid w:val="00215A63"/>
    <w:rsid w:val="002222D5"/>
    <w:rsid w:val="0022353B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4EA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266B4"/>
    <w:rsid w:val="0053489A"/>
    <w:rsid w:val="005620AC"/>
    <w:rsid w:val="00570374"/>
    <w:rsid w:val="00597EF2"/>
    <w:rsid w:val="005A11B9"/>
    <w:rsid w:val="005A62EF"/>
    <w:rsid w:val="005B2121"/>
    <w:rsid w:val="005B42A1"/>
    <w:rsid w:val="005B48EF"/>
    <w:rsid w:val="005C7677"/>
    <w:rsid w:val="005E26A0"/>
    <w:rsid w:val="005E7660"/>
    <w:rsid w:val="005E775C"/>
    <w:rsid w:val="0060793B"/>
    <w:rsid w:val="006113FB"/>
    <w:rsid w:val="00612691"/>
    <w:rsid w:val="00614FD2"/>
    <w:rsid w:val="006156A7"/>
    <w:rsid w:val="00616D45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37AE5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01588"/>
    <w:rsid w:val="009255BB"/>
    <w:rsid w:val="009349BE"/>
    <w:rsid w:val="00934F5A"/>
    <w:rsid w:val="0094091D"/>
    <w:rsid w:val="00944A25"/>
    <w:rsid w:val="00945726"/>
    <w:rsid w:val="009459AE"/>
    <w:rsid w:val="00962EE0"/>
    <w:rsid w:val="0096418C"/>
    <w:rsid w:val="00984488"/>
    <w:rsid w:val="00992413"/>
    <w:rsid w:val="009A55A9"/>
    <w:rsid w:val="009B554F"/>
    <w:rsid w:val="009D0C96"/>
    <w:rsid w:val="009E10A8"/>
    <w:rsid w:val="009F185F"/>
    <w:rsid w:val="009F7F29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3DFD"/>
    <w:rsid w:val="00AD5AA6"/>
    <w:rsid w:val="00AE000D"/>
    <w:rsid w:val="00AE198B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9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41AB0-96E0-4F1E-B916-DFB355DD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>1.1. Enoncé.</vt:lpstr>
      <vt:lpstr>1.2. Travail à faire.</vt:lpstr>
      <vt:lpstr/>
      <vt:lpstr/>
      <vt:lpstr/>
      <vt:lpstr>1.3. Documents.</vt:lpstr>
      <vt:lpstr>    1.3.1. Document 1.</vt:lpstr>
      <vt:lpstr>    1.3.2. Document 2.</vt:lpstr>
      <vt:lpstr/>
      <vt:lpstr>1.4. Annexes.</vt:lpstr>
      <vt:lpstr>    1.4.1. Annexe 1.</vt:lpstr>
      <vt:lpstr>    1.4.2. Annexe 2.</vt:lpstr>
      <vt:lpstr>    </vt:lpstr>
      <vt:lpstr>    </vt:lpstr>
      <vt:lpstr>    1.4.3. Annexe 3.</vt:lpstr>
    </vt:vector>
  </TitlesOfParts>
  <Manager>GEA Brive</Manager>
  <Company>IUT Limousin</Company>
  <LinksUpToDate>false</LinksUpToDate>
  <CharactersWithSpaces>1851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2013-01-26T18:43:00Z</dcterms:created>
  <dcterms:modified xsi:type="dcterms:W3CDTF">2013-01-26T18:45:00Z</dcterms:modified>
  <cp:category>IEL</cp:category>
</cp:coreProperties>
</file>