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38662A" w:rsidRDefault="0038662A" w:rsidP="0038662A">
      <w:pPr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8662A">
      <w:pPr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53489A">
        <w:rPr>
          <w:bCs/>
          <w:snapToGrid w:val="0"/>
          <w:color w:val="FF0000"/>
          <w:szCs w:val="24"/>
        </w:rPr>
        <w:t>10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53489A">
        <w:rPr>
          <w:bCs/>
          <w:snapToGrid w:val="0"/>
          <w:color w:val="FF0000"/>
          <w:szCs w:val="24"/>
        </w:rPr>
        <w:t>LABOU</w:t>
      </w:r>
    </w:p>
    <w:p w:rsidR="0031680C" w:rsidRDefault="0031680C" w:rsidP="0031680C">
      <w:pPr>
        <w:contextualSpacing/>
        <w:jc w:val="both"/>
        <w:rPr>
          <w:b w:val="0"/>
          <w:szCs w:val="24"/>
        </w:rPr>
      </w:pPr>
    </w:p>
    <w:p w:rsidR="0038662A" w:rsidRDefault="0038662A" w:rsidP="0031680C">
      <w:pPr>
        <w:contextualSpacing/>
        <w:jc w:val="both"/>
        <w:rPr>
          <w:b w:val="0"/>
          <w:szCs w:val="24"/>
        </w:rPr>
      </w:pPr>
    </w:p>
    <w:p w:rsidR="0038662A" w:rsidRPr="0038662A" w:rsidRDefault="0038662A" w:rsidP="0038662A">
      <w:pPr>
        <w:contextualSpacing/>
        <w:jc w:val="center"/>
        <w:rPr>
          <w:szCs w:val="24"/>
        </w:rPr>
      </w:pPr>
      <w:r w:rsidRPr="0038662A">
        <w:rPr>
          <w:szCs w:val="24"/>
        </w:rPr>
        <w:t>DOCUMENT 2</w:t>
      </w:r>
    </w:p>
    <w:p w:rsidR="0038662A" w:rsidRDefault="0038662A" w:rsidP="0031680C">
      <w:pPr>
        <w:contextualSpacing/>
        <w:jc w:val="both"/>
        <w:rPr>
          <w:b w:val="0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F871BF" w:rsidRPr="00F53212" w:rsidTr="00F53212">
        <w:tc>
          <w:tcPr>
            <w:tcW w:w="9777" w:type="dxa"/>
            <w:shd w:val="clear" w:color="auto" w:fill="D99594" w:themeFill="accent2" w:themeFillTint="99"/>
          </w:tcPr>
          <w:p w:rsidR="005C7677" w:rsidRPr="00F53212" w:rsidRDefault="00934F5A" w:rsidP="00F53212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MODALITES</w:t>
            </w:r>
            <w:r w:rsidR="005C7677" w:rsidRPr="00F53212">
              <w:rPr>
                <w:i w:val="0"/>
                <w:iCs w:val="0"/>
              </w:rPr>
              <w:t xml:space="preserve"> DE REGLEMENT</w:t>
            </w:r>
          </w:p>
        </w:tc>
      </w:tr>
      <w:tr w:rsidR="005C7677" w:rsidTr="00F53212">
        <w:tc>
          <w:tcPr>
            <w:tcW w:w="9777" w:type="dxa"/>
          </w:tcPr>
          <w:p w:rsidR="005C7677" w:rsidRPr="00F53212" w:rsidRDefault="005C7677" w:rsidP="00F53212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a) Encaissement des créances clients :</w:t>
            </w:r>
          </w:p>
          <w:p w:rsidR="00E406D6" w:rsidRPr="003D4789" w:rsidRDefault="00E406D6" w:rsidP="001507B8">
            <w:pPr>
              <w:numPr>
                <w:ilvl w:val="0"/>
                <w:numId w:val="8"/>
              </w:numPr>
              <w:suppressAutoHyphens w:val="0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20 % au comptant sous escompte conditionnel de 2 %</w:t>
            </w:r>
            <w:r>
              <w:rPr>
                <w:b w:val="0"/>
                <w:szCs w:val="24"/>
              </w:rPr>
              <w:t>,</w:t>
            </w:r>
          </w:p>
          <w:p w:rsidR="00E406D6" w:rsidRPr="003D4789" w:rsidRDefault="00E406D6" w:rsidP="001507B8">
            <w:pPr>
              <w:numPr>
                <w:ilvl w:val="0"/>
                <w:numId w:val="8"/>
              </w:numPr>
              <w:suppressAutoHyphens w:val="0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50 % à 30 jours Fin de Mois</w:t>
            </w:r>
            <w:r>
              <w:rPr>
                <w:b w:val="0"/>
                <w:szCs w:val="24"/>
              </w:rPr>
              <w:t>,</w:t>
            </w:r>
          </w:p>
          <w:p w:rsidR="005C7677" w:rsidRPr="00E406D6" w:rsidRDefault="00E406D6" w:rsidP="001507B8">
            <w:pPr>
              <w:numPr>
                <w:ilvl w:val="0"/>
                <w:numId w:val="8"/>
              </w:numPr>
              <w:suppressAutoHyphens w:val="0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 xml:space="preserve">30 % à 45 </w:t>
            </w:r>
            <w:r>
              <w:rPr>
                <w:b w:val="0"/>
                <w:szCs w:val="24"/>
              </w:rPr>
              <w:t>jours Fin de Mois</w:t>
            </w:r>
            <w:r w:rsidR="005C7677" w:rsidRPr="00E406D6">
              <w:rPr>
                <w:b w:val="0"/>
                <w:szCs w:val="24"/>
              </w:rPr>
              <w:t>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b) Paiement des dettes envers les fournisseurs de </w:t>
            </w:r>
            <w:r w:rsidR="00934F5A">
              <w:rPr>
                <w:szCs w:val="24"/>
              </w:rPr>
              <w:t>matières premières</w:t>
            </w:r>
            <w:r w:rsidRPr="00F53212">
              <w:rPr>
                <w:szCs w:val="24"/>
              </w:rPr>
              <w:t> :</w:t>
            </w:r>
          </w:p>
          <w:p w:rsidR="00C32F1F" w:rsidRPr="00C32F1F" w:rsidRDefault="00C32F1F" w:rsidP="001507B8">
            <w:pPr>
              <w:pStyle w:val="Paragraphedeliste"/>
              <w:numPr>
                <w:ilvl w:val="0"/>
                <w:numId w:val="6"/>
              </w:numPr>
              <w:rPr>
                <w:b w:val="0"/>
                <w:szCs w:val="24"/>
              </w:rPr>
            </w:pPr>
            <w:r w:rsidRPr="00C32F1F">
              <w:rPr>
                <w:b w:val="0"/>
                <w:szCs w:val="24"/>
              </w:rPr>
              <w:t>20 % au comptant</w:t>
            </w:r>
            <w:r w:rsidR="00A77F6C">
              <w:rPr>
                <w:b w:val="0"/>
                <w:szCs w:val="24"/>
              </w:rPr>
              <w:t>,</w:t>
            </w:r>
          </w:p>
          <w:p w:rsidR="00C32F1F" w:rsidRPr="00C32F1F" w:rsidRDefault="00C32F1F" w:rsidP="001507B8">
            <w:pPr>
              <w:pStyle w:val="Paragraphedeliste"/>
              <w:numPr>
                <w:ilvl w:val="0"/>
                <w:numId w:val="6"/>
              </w:numPr>
              <w:rPr>
                <w:b w:val="0"/>
                <w:szCs w:val="24"/>
              </w:rPr>
            </w:pPr>
            <w:r w:rsidRPr="00C32F1F">
              <w:rPr>
                <w:b w:val="0"/>
                <w:szCs w:val="24"/>
              </w:rPr>
              <w:t>40 % à 30 jours Fin De Mois</w:t>
            </w:r>
            <w:r w:rsidR="00A77F6C">
              <w:rPr>
                <w:b w:val="0"/>
                <w:szCs w:val="24"/>
              </w:rPr>
              <w:t>,</w:t>
            </w:r>
          </w:p>
          <w:p w:rsidR="005C7677" w:rsidRPr="00C32F1F" w:rsidRDefault="00C32F1F" w:rsidP="001507B8">
            <w:pPr>
              <w:pStyle w:val="Paragraphedeliste"/>
              <w:numPr>
                <w:ilvl w:val="0"/>
                <w:numId w:val="6"/>
              </w:numPr>
              <w:jc w:val="both"/>
              <w:rPr>
                <w:b w:val="0"/>
                <w:szCs w:val="24"/>
              </w:rPr>
            </w:pPr>
            <w:r w:rsidRPr="00C32F1F">
              <w:rPr>
                <w:b w:val="0"/>
                <w:szCs w:val="24"/>
              </w:rPr>
              <w:t>40 % à 60 jours Fin De Mois</w:t>
            </w:r>
            <w:r w:rsidR="00FD5A81" w:rsidRPr="00C32F1F">
              <w:rPr>
                <w:b w:val="0"/>
                <w:szCs w:val="24"/>
              </w:rPr>
              <w:t>.</w:t>
            </w:r>
          </w:p>
          <w:p w:rsidR="005C7677" w:rsidRPr="00F53212" w:rsidRDefault="005C7677" w:rsidP="00F53212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c) Paiement des dettes envers les autres fournisseurs</w:t>
            </w:r>
            <w:r w:rsidR="00AE2540">
              <w:rPr>
                <w:szCs w:val="24"/>
              </w:rPr>
              <w:t xml:space="preserve"> </w:t>
            </w:r>
            <w:r w:rsidRPr="00F53212">
              <w:rPr>
                <w:szCs w:val="24"/>
              </w:rPr>
              <w:t>:</w:t>
            </w:r>
          </w:p>
          <w:p w:rsidR="003F1568" w:rsidRPr="003F1568" w:rsidRDefault="003F1568" w:rsidP="001507B8">
            <w:pPr>
              <w:pStyle w:val="Paragraphedeliste"/>
              <w:numPr>
                <w:ilvl w:val="0"/>
                <w:numId w:val="9"/>
              </w:numPr>
              <w:rPr>
                <w:b w:val="0"/>
                <w:szCs w:val="24"/>
              </w:rPr>
            </w:pPr>
            <w:r w:rsidRPr="003F1568">
              <w:rPr>
                <w:b w:val="0"/>
                <w:szCs w:val="24"/>
              </w:rPr>
              <w:t>Les fournisseurs de fournitures et consommables sont payés en moyenne à 30 jours</w:t>
            </w:r>
            <w:r>
              <w:rPr>
                <w:b w:val="0"/>
                <w:szCs w:val="24"/>
              </w:rPr>
              <w:t>.</w:t>
            </w:r>
          </w:p>
          <w:p w:rsidR="00934F5A" w:rsidRPr="00F53212" w:rsidRDefault="003F1568" w:rsidP="001507B8">
            <w:pPr>
              <w:numPr>
                <w:ilvl w:val="0"/>
                <w:numId w:val="4"/>
              </w:numPr>
              <w:contextualSpacing/>
              <w:jc w:val="both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 xml:space="preserve">Les </w:t>
            </w:r>
            <w:r>
              <w:rPr>
                <w:b w:val="0"/>
                <w:szCs w:val="24"/>
              </w:rPr>
              <w:t xml:space="preserve">fournisseurs de </w:t>
            </w:r>
            <w:r w:rsidRPr="003D4789">
              <w:rPr>
                <w:b w:val="0"/>
                <w:szCs w:val="24"/>
              </w:rPr>
              <w:t>charges externes fixes sont payés en moyenne à 25 jours d’échéance</w:t>
            </w:r>
            <w:r w:rsidR="00992413">
              <w:rPr>
                <w:b w:val="0"/>
                <w:bCs/>
              </w:rPr>
              <w:t>.</w:t>
            </w:r>
          </w:p>
          <w:p w:rsidR="005C7677" w:rsidRDefault="005C7677" w:rsidP="00F53212">
            <w:pPr>
              <w:spacing w:before="120" w:after="60"/>
            </w:pPr>
            <w:bookmarkStart w:id="0" w:name="_Toc322871111"/>
            <w:r w:rsidRPr="005C7677">
              <w:t xml:space="preserve">d) </w:t>
            </w:r>
            <w:r>
              <w:t>Paiement des salaires nets</w:t>
            </w:r>
            <w:r w:rsidRPr="005C7677">
              <w:t> :</w:t>
            </w:r>
            <w:bookmarkEnd w:id="0"/>
            <w:r w:rsidRPr="0031680C">
              <w:t xml:space="preserve"> </w:t>
            </w:r>
          </w:p>
          <w:p w:rsidR="005C7677" w:rsidRPr="00F53212" w:rsidRDefault="00F66B5D" w:rsidP="001507B8">
            <w:pPr>
              <w:numPr>
                <w:ilvl w:val="0"/>
                <w:numId w:val="4"/>
              </w:numPr>
              <w:contextualSpacing/>
              <w:jc w:val="both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Les salaires des personnels de production et de distribution sont payés par virement le dernier jour ouvrable de chaque mois</w:t>
            </w:r>
            <w:r w:rsidR="003004F7" w:rsidRPr="00DF5631">
              <w:rPr>
                <w:b w:val="0"/>
                <w:bCs/>
              </w:rPr>
              <w:t>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e) Paiement des charges sociales :</w:t>
            </w:r>
          </w:p>
          <w:p w:rsidR="005C7677" w:rsidRPr="00F53212" w:rsidRDefault="00F66B5D" w:rsidP="001507B8">
            <w:pPr>
              <w:numPr>
                <w:ilvl w:val="0"/>
                <w:numId w:val="3"/>
              </w:numPr>
              <w:contextualSpacing/>
              <w:jc w:val="both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Les charges sociales retenues aux salariés ainsi que celles de l’employeur sont acquittées le 17 du mois suivant</w:t>
            </w:r>
            <w:r w:rsidR="003004F7" w:rsidRPr="00DF5631">
              <w:rPr>
                <w:b w:val="0"/>
                <w:bCs/>
              </w:rPr>
              <w:t>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f) </w:t>
            </w:r>
            <w:r w:rsidR="00B9548B" w:rsidRPr="00F53212">
              <w:rPr>
                <w:szCs w:val="24"/>
              </w:rPr>
              <w:t>Paiement de la TVA</w:t>
            </w:r>
            <w:r w:rsidRPr="00F53212">
              <w:rPr>
                <w:szCs w:val="24"/>
              </w:rPr>
              <w:t xml:space="preserve"> : </w:t>
            </w:r>
          </w:p>
          <w:p w:rsidR="005C7677" w:rsidRPr="00B84C3C" w:rsidRDefault="003F1568" w:rsidP="001507B8">
            <w:pPr>
              <w:pStyle w:val="Paragraphedeliste"/>
              <w:numPr>
                <w:ilvl w:val="0"/>
                <w:numId w:val="3"/>
              </w:numPr>
              <w:spacing w:after="120"/>
              <w:ind w:left="714" w:hanging="357"/>
              <w:contextualSpacing w:val="0"/>
              <w:rPr>
                <w:b w:val="0"/>
                <w:bCs/>
              </w:rPr>
            </w:pPr>
            <w:r w:rsidRPr="003D4789">
              <w:rPr>
                <w:b w:val="0"/>
                <w:szCs w:val="24"/>
              </w:rPr>
              <w:t>La TVA est payable le 23</w:t>
            </w:r>
            <w:r>
              <w:rPr>
                <w:b w:val="0"/>
                <w:szCs w:val="24"/>
              </w:rPr>
              <w:t xml:space="preserve"> du mois suivant</w:t>
            </w:r>
            <w:r w:rsidR="00B84C3C">
              <w:rPr>
                <w:b w:val="0"/>
                <w:bCs/>
              </w:rPr>
              <w:t>.</w:t>
            </w:r>
          </w:p>
        </w:tc>
      </w:tr>
    </w:tbl>
    <w:p w:rsidR="005C7677" w:rsidRDefault="005C7677" w:rsidP="0031680C">
      <w:pPr>
        <w:contextualSpacing/>
        <w:jc w:val="both"/>
        <w:rPr>
          <w:b w:val="0"/>
          <w:szCs w:val="24"/>
        </w:rPr>
      </w:pPr>
    </w:p>
    <w:p w:rsidR="00C32F1F" w:rsidRDefault="00C32F1F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Default="00DD000C" w:rsidP="00C32F1F">
      <w:pPr>
        <w:ind w:left="708"/>
        <w:rPr>
          <w:b w:val="0"/>
          <w:szCs w:val="24"/>
        </w:rPr>
      </w:pPr>
    </w:p>
    <w:p w:rsidR="00DD000C" w:rsidRPr="003D4789" w:rsidRDefault="00DD000C" w:rsidP="00C32F1F">
      <w:pPr>
        <w:ind w:left="708"/>
        <w:rPr>
          <w:b w:val="0"/>
          <w:szCs w:val="24"/>
        </w:rPr>
      </w:pPr>
    </w:p>
    <w:p w:rsidR="00C32F1F" w:rsidRPr="003D4789" w:rsidRDefault="00C32F1F" w:rsidP="00C32F1F">
      <w:pPr>
        <w:rPr>
          <w:b w:val="0"/>
          <w:szCs w:val="24"/>
        </w:rPr>
      </w:pPr>
    </w:p>
    <w:p w:rsidR="00C32F1F" w:rsidRPr="003D4789" w:rsidRDefault="00C32F1F" w:rsidP="00C32F1F">
      <w:pPr>
        <w:ind w:left="708"/>
        <w:rPr>
          <w:b w:val="0"/>
          <w:szCs w:val="24"/>
        </w:rPr>
      </w:pPr>
    </w:p>
    <w:p w:rsidR="00C32F1F" w:rsidRPr="003D4789" w:rsidRDefault="00C32F1F" w:rsidP="00C32F1F">
      <w:pPr>
        <w:rPr>
          <w:b w:val="0"/>
          <w:szCs w:val="24"/>
        </w:rPr>
      </w:pPr>
    </w:p>
    <w:p w:rsidR="00C32F1F" w:rsidRPr="003D4789" w:rsidRDefault="00C32F1F" w:rsidP="00C32F1F">
      <w:pPr>
        <w:ind w:left="708"/>
        <w:rPr>
          <w:b w:val="0"/>
          <w:szCs w:val="24"/>
        </w:rPr>
      </w:pPr>
    </w:p>
    <w:p w:rsidR="00ED1C43" w:rsidRDefault="00ED1C43" w:rsidP="0031680C">
      <w:pPr>
        <w:ind w:left="3540" w:firstLine="708"/>
        <w:contextualSpacing/>
        <w:jc w:val="both"/>
        <w:rPr>
          <w:b w:val="0"/>
          <w:szCs w:val="24"/>
        </w:rPr>
      </w:pPr>
    </w:p>
    <w:p w:rsidR="00D9655D" w:rsidRDefault="00D9655D" w:rsidP="006156A7">
      <w:pPr>
        <w:pStyle w:val="Titre1"/>
        <w:rPr>
          <w:snapToGrid w:val="0"/>
        </w:rPr>
        <w:sectPr w:rsidR="00D9655D" w:rsidSect="00A65DC8">
          <w:footerReference w:type="even" r:id="rId8"/>
          <w:footerReference w:type="default" r:id="rId9"/>
          <w:footnotePr>
            <w:pos w:val="beneathText"/>
          </w:footnotePr>
          <w:pgSz w:w="11905" w:h="16837" w:code="9"/>
          <w:pgMar w:top="284" w:right="1134" w:bottom="284" w:left="1134" w:header="720" w:footer="737" w:gutter="0"/>
          <w:cols w:space="720"/>
          <w:docGrid w:linePitch="360"/>
        </w:sectPr>
      </w:pPr>
      <w:bookmarkStart w:id="1" w:name="_Toc322871113"/>
    </w:p>
    <w:p w:rsidR="006156A7" w:rsidRPr="0031680C" w:rsidRDefault="006156A7" w:rsidP="006156A7">
      <w:pPr>
        <w:pStyle w:val="Titre1"/>
        <w:rPr>
          <w:snapToGrid w:val="0"/>
        </w:rPr>
      </w:pPr>
      <w:bookmarkStart w:id="2" w:name="_Toc325116608"/>
      <w:r>
        <w:rPr>
          <w:snapToGrid w:val="0"/>
        </w:rPr>
        <w:t>1.4. Annexe.</w:t>
      </w:r>
      <w:bookmarkEnd w:id="1"/>
      <w:bookmarkEnd w:id="2"/>
    </w:p>
    <w:p w:rsidR="006156A7" w:rsidRDefault="006156A7" w:rsidP="0031680C">
      <w:pPr>
        <w:contextualSpacing/>
        <w:jc w:val="both"/>
        <w:rPr>
          <w:b w:val="0"/>
          <w:szCs w:val="24"/>
        </w:rPr>
      </w:pPr>
    </w:p>
    <w:p w:rsidR="00F45993" w:rsidRDefault="00F45993" w:rsidP="0031680C">
      <w:pPr>
        <w:contextualSpacing/>
        <w:jc w:val="both"/>
        <w:rPr>
          <w:b w:val="0"/>
          <w:szCs w:val="24"/>
        </w:rPr>
      </w:pPr>
    </w:p>
    <w:tbl>
      <w:tblPr>
        <w:tblW w:w="12971" w:type="dxa"/>
        <w:tblInd w:w="1771" w:type="dxa"/>
        <w:tblCellMar>
          <w:left w:w="70" w:type="dxa"/>
          <w:right w:w="70" w:type="dxa"/>
        </w:tblCellMar>
        <w:tblLook w:val="04A0"/>
      </w:tblPr>
      <w:tblGrid>
        <w:gridCol w:w="3840"/>
        <w:gridCol w:w="1538"/>
        <w:gridCol w:w="1568"/>
        <w:gridCol w:w="1574"/>
        <w:gridCol w:w="1501"/>
        <w:gridCol w:w="1493"/>
        <w:gridCol w:w="1457"/>
      </w:tblGrid>
      <w:tr w:rsidR="00C2012D" w:rsidRPr="00C2012D" w:rsidTr="00627725">
        <w:trPr>
          <w:trHeight w:val="391"/>
        </w:trPr>
        <w:tc>
          <w:tcPr>
            <w:tcW w:w="1297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 xml:space="preserve">BESOIN EN FONDS DE ROULEMENT </w:t>
            </w:r>
            <w:r w:rsidR="00627725" w:rsidRPr="00C2012D">
              <w:rPr>
                <w:bCs/>
                <w:szCs w:val="24"/>
                <w:lang w:eastAsia="fr-FR"/>
              </w:rPr>
              <w:t xml:space="preserve">D’EXPLOITATION </w:t>
            </w:r>
            <w:r w:rsidRPr="00C2012D"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53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56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307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295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Ressources</w:t>
            </w: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Variables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Fixes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Variables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Fixes</w:t>
            </w: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Stocks de matières premières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Stocks de produits finis variables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Stocks de produits finis fixes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Stocks de produits en-cours variables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Stocks de produits en-cours fixes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Clients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 xml:space="preserve">TVA </w:t>
            </w:r>
            <w:r>
              <w:rPr>
                <w:b w:val="0"/>
                <w:szCs w:val="24"/>
                <w:lang w:eastAsia="fr-FR"/>
              </w:rPr>
              <w:t>déductible var</w:t>
            </w:r>
            <w:r w:rsidRPr="00C2012D">
              <w:rPr>
                <w:b w:val="0"/>
                <w:szCs w:val="24"/>
                <w:lang w:eastAsia="fr-FR"/>
              </w:rPr>
              <w:t>iable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TVA déductible fixe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Fournisseurs de matières premières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Fournisseurs de fournitures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Fournisseurs : coûts fixes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Personnel : salaires variables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Personnel : salaires fixes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Charges sociales variables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Charges sociales fixes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38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C12C9C" w:rsidRPr="00C2012D" w:rsidTr="00627725">
        <w:trPr>
          <w:trHeight w:val="196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C2012D" w:rsidRPr="00C2012D" w:rsidRDefault="00C2012D" w:rsidP="00C12C9C">
            <w:pPr>
              <w:suppressAutoHyphens w:val="0"/>
              <w:ind w:left="1418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 xml:space="preserve">BFRN </w:t>
            </w:r>
            <w:r w:rsidR="00C12C9C">
              <w:rPr>
                <w:bCs/>
                <w:szCs w:val="24"/>
                <w:lang w:eastAsia="fr-FR"/>
              </w:rPr>
              <w:t xml:space="preserve">variable </w:t>
            </w:r>
            <w:r w:rsidRPr="00C2012D">
              <w:rPr>
                <w:bCs/>
                <w:szCs w:val="24"/>
                <w:lang w:eastAsia="fr-FR"/>
              </w:rPr>
              <w:t>en jours de chiffre d'affaires HT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BFRN fixe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C000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Cs/>
                <w:szCs w:val="24"/>
                <w:lang w:eastAsia="fr-FR"/>
              </w:rPr>
            </w:pPr>
            <w:r w:rsidRPr="00C2012D">
              <w:rPr>
                <w:bCs/>
                <w:szCs w:val="24"/>
                <w:lang w:eastAsia="fr-FR"/>
              </w:rPr>
              <w:t> </w:t>
            </w:r>
          </w:p>
        </w:tc>
      </w:tr>
      <w:tr w:rsidR="00C2012D" w:rsidRPr="00C2012D" w:rsidTr="00627725">
        <w:trPr>
          <w:trHeight w:val="196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12C9C">
            <w:pPr>
              <w:suppressAutoHyphens w:val="0"/>
              <w:ind w:left="1418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Prix de vente unitaire Hors Taxes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C2012D" w:rsidRPr="00C2012D" w:rsidTr="00627725">
        <w:trPr>
          <w:trHeight w:val="196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12C9C">
            <w:pPr>
              <w:suppressAutoHyphens w:val="0"/>
              <w:ind w:left="1418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Quantité annuelle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C2012D" w:rsidRPr="00C2012D" w:rsidTr="00627725">
        <w:trPr>
          <w:trHeight w:val="196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12C9C">
            <w:pPr>
              <w:suppressAutoHyphens w:val="0"/>
              <w:ind w:left="1418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Chiffre d’affaires annuel en valeur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12C9C">
            <w:pPr>
              <w:suppressAutoHyphens w:val="0"/>
              <w:ind w:left="1418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Chiffre d'affaires par jour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C2012D" w:rsidRPr="00C2012D" w:rsidTr="00627725">
        <w:trPr>
          <w:trHeight w:val="196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12C9C">
            <w:pPr>
              <w:suppressAutoHyphens w:val="0"/>
              <w:ind w:left="1418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BFR</w:t>
            </w:r>
            <w:r w:rsidR="00D31299">
              <w:rPr>
                <w:b w:val="0"/>
                <w:szCs w:val="24"/>
                <w:lang w:eastAsia="fr-FR"/>
              </w:rPr>
              <w:t>N</w:t>
            </w:r>
            <w:r w:rsidRPr="00C2012D">
              <w:rPr>
                <w:b w:val="0"/>
                <w:szCs w:val="24"/>
                <w:lang w:eastAsia="fr-FR"/>
              </w:rPr>
              <w:t xml:space="preserve"> en  valeur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C2012D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02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012D" w:rsidRPr="00C2012D" w:rsidRDefault="00C2012D" w:rsidP="00C2012D">
            <w:pPr>
              <w:suppressAutoHyphens w:val="0"/>
              <w:ind w:firstLineChars="1000" w:firstLine="2400"/>
              <w:jc w:val="right"/>
              <w:rPr>
                <w:b w:val="0"/>
                <w:szCs w:val="24"/>
                <w:lang w:eastAsia="fr-FR"/>
              </w:rPr>
            </w:pPr>
          </w:p>
        </w:tc>
      </w:tr>
    </w:tbl>
    <w:p w:rsidR="003236C4" w:rsidRDefault="003236C4" w:rsidP="0031680C">
      <w:pPr>
        <w:contextualSpacing/>
        <w:jc w:val="both"/>
        <w:rPr>
          <w:b w:val="0"/>
          <w:szCs w:val="24"/>
        </w:rPr>
      </w:pPr>
    </w:p>
    <w:sectPr w:rsidR="003236C4" w:rsidSect="00D9655D">
      <w:footnotePr>
        <w:pos w:val="beneathText"/>
      </w:footnotePr>
      <w:pgSz w:w="16837" w:h="11905" w:orient="landscape" w:code="9"/>
      <w:pgMar w:top="1134" w:right="284" w:bottom="1134" w:left="567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4BC" w:rsidRDefault="00EB24BC">
      <w:r>
        <w:separator/>
      </w:r>
    </w:p>
  </w:endnote>
  <w:endnote w:type="continuationSeparator" w:id="0">
    <w:p w:rsidR="00EB24BC" w:rsidRDefault="00EB2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IUT – GEA Brive – S4 – 843 – Gestion de trésorerie et diagnostic financier approfondi  - Daniel Antraigue</w:t>
    </w:r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B07E89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B07E89" w:rsidRPr="006156A7">
      <w:rPr>
        <w:rStyle w:val="Numrodepage"/>
        <w:iCs/>
        <w:sz w:val="18"/>
        <w:szCs w:val="18"/>
      </w:rPr>
      <w:fldChar w:fldCharType="separate"/>
    </w:r>
    <w:r w:rsidR="0038662A">
      <w:rPr>
        <w:rStyle w:val="Numrodepage"/>
        <w:iCs/>
        <w:noProof/>
        <w:sz w:val="18"/>
        <w:szCs w:val="18"/>
      </w:rPr>
      <w:t>2</w:t>
    </w:r>
    <w:r w:rsidR="00B07E89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B07E89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B07E89" w:rsidRPr="006156A7">
      <w:rPr>
        <w:rStyle w:val="Numrodepage"/>
        <w:iCs/>
        <w:sz w:val="18"/>
        <w:szCs w:val="18"/>
      </w:rPr>
      <w:fldChar w:fldCharType="separate"/>
    </w:r>
    <w:r w:rsidR="0038662A">
      <w:rPr>
        <w:rStyle w:val="Numrodepage"/>
        <w:iCs/>
        <w:noProof/>
        <w:sz w:val="18"/>
        <w:szCs w:val="18"/>
      </w:rPr>
      <w:t>3</w:t>
    </w:r>
    <w:r w:rsidR="00B07E89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B07E89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B07E89" w:rsidRPr="0031680C">
      <w:rPr>
        <w:rStyle w:val="Numrodepage"/>
        <w:iCs/>
        <w:sz w:val="18"/>
        <w:szCs w:val="18"/>
      </w:rPr>
      <w:fldChar w:fldCharType="separate"/>
    </w:r>
    <w:r w:rsidR="00EB24BC">
      <w:rPr>
        <w:rStyle w:val="Numrodepage"/>
        <w:iCs/>
        <w:noProof/>
        <w:sz w:val="18"/>
        <w:szCs w:val="18"/>
      </w:rPr>
      <w:t>1</w:t>
    </w:r>
    <w:r w:rsidR="00B07E89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B07E89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B07E89" w:rsidRPr="0031680C">
      <w:rPr>
        <w:rStyle w:val="Numrodepage"/>
        <w:iCs/>
        <w:sz w:val="18"/>
        <w:szCs w:val="18"/>
      </w:rPr>
      <w:fldChar w:fldCharType="separate"/>
    </w:r>
    <w:r w:rsidR="00EB24BC">
      <w:rPr>
        <w:rStyle w:val="Numrodepage"/>
        <w:iCs/>
        <w:noProof/>
        <w:sz w:val="18"/>
        <w:szCs w:val="18"/>
      </w:rPr>
      <w:t>1</w:t>
    </w:r>
    <w:r w:rsidR="00B07E89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4BC" w:rsidRDefault="00EB24BC">
      <w:r>
        <w:separator/>
      </w:r>
    </w:p>
  </w:footnote>
  <w:footnote w:type="continuationSeparator" w:id="0">
    <w:p w:rsidR="00EB24BC" w:rsidRDefault="00EB24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76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D0D0E"/>
    <w:rsid w:val="000E1917"/>
    <w:rsid w:val="000E276B"/>
    <w:rsid w:val="00104B07"/>
    <w:rsid w:val="0010674F"/>
    <w:rsid w:val="001361E9"/>
    <w:rsid w:val="00150190"/>
    <w:rsid w:val="001507B8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7FF1"/>
    <w:rsid w:val="00231608"/>
    <w:rsid w:val="002411FD"/>
    <w:rsid w:val="0024269D"/>
    <w:rsid w:val="0025365D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5F14"/>
    <w:rsid w:val="0038662A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4E0D"/>
    <w:rsid w:val="0053489A"/>
    <w:rsid w:val="005620AC"/>
    <w:rsid w:val="00570374"/>
    <w:rsid w:val="00592406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27725"/>
    <w:rsid w:val="00644F27"/>
    <w:rsid w:val="00651A18"/>
    <w:rsid w:val="00653E1D"/>
    <w:rsid w:val="006543A1"/>
    <w:rsid w:val="00661BDF"/>
    <w:rsid w:val="0066348D"/>
    <w:rsid w:val="00667156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509F"/>
    <w:rsid w:val="00781B7F"/>
    <w:rsid w:val="007856D2"/>
    <w:rsid w:val="0079654A"/>
    <w:rsid w:val="007A23C2"/>
    <w:rsid w:val="007B3B08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9AE"/>
    <w:rsid w:val="0096418C"/>
    <w:rsid w:val="00970825"/>
    <w:rsid w:val="00984488"/>
    <w:rsid w:val="00992413"/>
    <w:rsid w:val="009A55A9"/>
    <w:rsid w:val="009B554F"/>
    <w:rsid w:val="009D0C96"/>
    <w:rsid w:val="009F185F"/>
    <w:rsid w:val="009F7F29"/>
    <w:rsid w:val="00A30CB6"/>
    <w:rsid w:val="00A65DC8"/>
    <w:rsid w:val="00A74BC5"/>
    <w:rsid w:val="00A76FA3"/>
    <w:rsid w:val="00A77F6C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07E89"/>
    <w:rsid w:val="00B50CFB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A032C"/>
    <w:rsid w:val="00CA70DA"/>
    <w:rsid w:val="00CB0763"/>
    <w:rsid w:val="00CB384C"/>
    <w:rsid w:val="00CB6A9C"/>
    <w:rsid w:val="00CF55B3"/>
    <w:rsid w:val="00D04142"/>
    <w:rsid w:val="00D04EF6"/>
    <w:rsid w:val="00D1381F"/>
    <w:rsid w:val="00D1669F"/>
    <w:rsid w:val="00D21E3C"/>
    <w:rsid w:val="00D31299"/>
    <w:rsid w:val="00D36FB7"/>
    <w:rsid w:val="00D4550A"/>
    <w:rsid w:val="00D52219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34BFF"/>
    <w:rsid w:val="00E406D6"/>
    <w:rsid w:val="00E47308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B24BC"/>
    <w:rsid w:val="00EC21F3"/>
    <w:rsid w:val="00EC6BDF"/>
    <w:rsid w:val="00ED1C43"/>
    <w:rsid w:val="00F060B7"/>
    <w:rsid w:val="00F07A63"/>
    <w:rsid w:val="00F108D7"/>
    <w:rsid w:val="00F2762A"/>
    <w:rsid w:val="00F30A06"/>
    <w:rsid w:val="00F33519"/>
    <w:rsid w:val="00F34E75"/>
    <w:rsid w:val="00F351E7"/>
    <w:rsid w:val="00F45993"/>
    <w:rsid w:val="00F53212"/>
    <w:rsid w:val="00F53946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DDFE0-2B52-4743-AD69-5FD7C2A62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>843 FC - GTDFA - TD</vt:lpstr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>1.4. Annexe.</vt:lpstr>
    </vt:vector>
  </TitlesOfParts>
  <Manager>GEA Brive</Manager>
  <Company>IUT Limousin</Company>
  <LinksUpToDate>false</LinksUpToDate>
  <CharactersWithSpaces>2153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2012-05-18T14:26:00Z</dcterms:created>
  <dcterms:modified xsi:type="dcterms:W3CDTF">2012-05-18T14:30:00Z</dcterms:modified>
  <cp:category>IEL</cp:category>
</cp:coreProperties>
</file>