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1B4AAC">
        <w:rPr>
          <w:bCs/>
          <w:snapToGrid w:val="0"/>
          <w:color w:val="FF0000"/>
          <w:szCs w:val="24"/>
        </w:rPr>
        <w:t>7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1B4AAC">
        <w:rPr>
          <w:bCs/>
          <w:snapToGrid w:val="0"/>
          <w:color w:val="FF0000"/>
          <w:szCs w:val="24"/>
        </w:rPr>
        <w:t>LIMOU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332389" w:rsidRDefault="00332389" w:rsidP="00332389">
      <w:pPr>
        <w:jc w:val="center"/>
      </w:pPr>
      <w:r>
        <w:t>DOCUMENT 1</w:t>
      </w:r>
    </w:p>
    <w:p w:rsidR="00332389" w:rsidRDefault="00332389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251362" w:rsidRPr="00F53212" w:rsidTr="00212195">
        <w:tc>
          <w:tcPr>
            <w:tcW w:w="9777" w:type="dxa"/>
            <w:shd w:val="clear" w:color="auto" w:fill="D99594" w:themeFill="accent2" w:themeFillTint="99"/>
          </w:tcPr>
          <w:p w:rsidR="00251362" w:rsidRPr="00251362" w:rsidRDefault="00251362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bCs/>
                <w:i w:val="0"/>
              </w:rPr>
              <w:t>C</w:t>
            </w:r>
            <w:r w:rsidRPr="00251362">
              <w:rPr>
                <w:bCs/>
                <w:i w:val="0"/>
              </w:rPr>
              <w:t>aractéristiques de l’activité prévisionnelle</w:t>
            </w:r>
          </w:p>
        </w:tc>
      </w:tr>
      <w:tr w:rsidR="00251362" w:rsidRPr="0039284C" w:rsidTr="00212195">
        <w:tc>
          <w:tcPr>
            <w:tcW w:w="9777" w:type="dxa"/>
          </w:tcPr>
          <w:p w:rsidR="001B4AAC" w:rsidRPr="001B4AAC" w:rsidRDefault="001B4AAC" w:rsidP="00EC31EA">
            <w:pPr>
              <w:suppressAutoHyphens w:val="0"/>
              <w:spacing w:before="120" w:after="6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a) D</w:t>
            </w:r>
            <w:r w:rsidRPr="001B4AAC">
              <w:rPr>
                <w:bCs/>
                <w:szCs w:val="24"/>
              </w:rPr>
              <w:t>onnées commerciales :</w:t>
            </w:r>
          </w:p>
          <w:p w:rsidR="001B4AAC" w:rsidRPr="001B4AAC" w:rsidRDefault="001B4AAC" w:rsidP="001B4AAC">
            <w:pPr>
              <w:pStyle w:val="Paragraphedeliste"/>
              <w:numPr>
                <w:ilvl w:val="0"/>
                <w:numId w:val="37"/>
              </w:numPr>
              <w:jc w:val="both"/>
              <w:rPr>
                <w:b w:val="0"/>
                <w:bCs/>
                <w:szCs w:val="24"/>
              </w:rPr>
            </w:pPr>
            <w:r w:rsidRPr="001B4AAC">
              <w:rPr>
                <w:b w:val="0"/>
                <w:bCs/>
                <w:szCs w:val="24"/>
              </w:rPr>
              <w:t>Chiffre d’affaires prévisionnel HT : 4 000 000 €</w:t>
            </w:r>
            <w:r>
              <w:rPr>
                <w:b w:val="0"/>
                <w:bCs/>
                <w:szCs w:val="24"/>
              </w:rPr>
              <w:t>.</w:t>
            </w:r>
          </w:p>
          <w:p w:rsidR="001B4AAC" w:rsidRPr="001B4AAC" w:rsidRDefault="001B4AAC" w:rsidP="001B4AAC">
            <w:pPr>
              <w:pStyle w:val="Paragraphedeliste"/>
              <w:numPr>
                <w:ilvl w:val="0"/>
                <w:numId w:val="37"/>
              </w:numPr>
              <w:jc w:val="both"/>
              <w:rPr>
                <w:b w:val="0"/>
                <w:bCs/>
                <w:szCs w:val="24"/>
              </w:rPr>
            </w:pPr>
            <w:r w:rsidRPr="001B4AAC">
              <w:rPr>
                <w:b w:val="0"/>
                <w:bCs/>
                <w:szCs w:val="24"/>
              </w:rPr>
              <w:t>L’activité de l’entreprise est réalisée sur une durée de 360 jours par an.</w:t>
            </w:r>
          </w:p>
          <w:p w:rsidR="001B4AAC" w:rsidRPr="001B4AAC" w:rsidRDefault="001B4AAC" w:rsidP="00EC31EA">
            <w:pPr>
              <w:spacing w:before="120" w:after="60"/>
              <w:jc w:val="both"/>
              <w:rPr>
                <w:bCs/>
                <w:szCs w:val="24"/>
              </w:rPr>
            </w:pPr>
            <w:r w:rsidRPr="001B4AAC">
              <w:rPr>
                <w:bCs/>
                <w:szCs w:val="24"/>
              </w:rPr>
              <w:t>b) Achats de marchandises :</w:t>
            </w:r>
          </w:p>
          <w:p w:rsidR="001B4AAC" w:rsidRPr="001B4AAC" w:rsidRDefault="001B4AAC" w:rsidP="001B4AAC">
            <w:pPr>
              <w:pStyle w:val="Paragraphedeliste"/>
              <w:numPr>
                <w:ilvl w:val="0"/>
                <w:numId w:val="38"/>
              </w:numPr>
              <w:jc w:val="both"/>
              <w:rPr>
                <w:b w:val="0"/>
                <w:bCs/>
                <w:szCs w:val="24"/>
              </w:rPr>
            </w:pPr>
            <w:r w:rsidRPr="001B4AAC">
              <w:rPr>
                <w:b w:val="0"/>
                <w:bCs/>
                <w:szCs w:val="24"/>
              </w:rPr>
              <w:t>Les achats de marchandises représentent 20 % du chiffre d’affaires</w:t>
            </w:r>
            <w:r>
              <w:rPr>
                <w:b w:val="0"/>
                <w:bCs/>
                <w:szCs w:val="24"/>
              </w:rPr>
              <w:t>.</w:t>
            </w:r>
          </w:p>
          <w:p w:rsidR="001B4AAC" w:rsidRPr="001B4AAC" w:rsidRDefault="001B4AAC" w:rsidP="00EC31EA">
            <w:pPr>
              <w:spacing w:before="120" w:after="60"/>
              <w:jc w:val="both"/>
              <w:rPr>
                <w:bCs/>
                <w:szCs w:val="24"/>
              </w:rPr>
            </w:pPr>
            <w:r w:rsidRPr="001B4AAC">
              <w:rPr>
                <w:bCs/>
                <w:szCs w:val="24"/>
              </w:rPr>
              <w:t xml:space="preserve">c) </w:t>
            </w:r>
            <w:r>
              <w:rPr>
                <w:bCs/>
                <w:szCs w:val="24"/>
              </w:rPr>
              <w:t>S</w:t>
            </w:r>
            <w:r w:rsidRPr="001B4AAC">
              <w:rPr>
                <w:bCs/>
                <w:szCs w:val="24"/>
              </w:rPr>
              <w:t>tocks :</w:t>
            </w:r>
          </w:p>
          <w:p w:rsidR="001B4AAC" w:rsidRPr="001B4AAC" w:rsidRDefault="001B4AAC" w:rsidP="001B4AAC">
            <w:pPr>
              <w:pStyle w:val="Titre3"/>
              <w:numPr>
                <w:ilvl w:val="0"/>
                <w:numId w:val="39"/>
              </w:numPr>
              <w:jc w:val="both"/>
              <w:rPr>
                <w:b w:val="0"/>
                <w:bCs w:val="0"/>
                <w:szCs w:val="24"/>
              </w:rPr>
            </w:pPr>
            <w:r w:rsidRPr="001B4AAC">
              <w:rPr>
                <w:b w:val="0"/>
                <w:bCs w:val="0"/>
                <w:szCs w:val="24"/>
              </w:rPr>
              <w:t>Le stock de marchandises correspond en moyenne à 12 % des achats.</w:t>
            </w:r>
          </w:p>
          <w:p w:rsidR="001B4AAC" w:rsidRPr="001B4AAC" w:rsidRDefault="001B4AAC" w:rsidP="001B4AAC">
            <w:pPr>
              <w:pStyle w:val="Paragraphedeliste"/>
              <w:numPr>
                <w:ilvl w:val="0"/>
                <w:numId w:val="39"/>
              </w:numPr>
              <w:jc w:val="both"/>
              <w:rPr>
                <w:b w:val="0"/>
                <w:bCs/>
                <w:szCs w:val="24"/>
                <w:lang w:val="en-GB"/>
              </w:rPr>
            </w:pPr>
            <w:r w:rsidRPr="001B4AAC">
              <w:rPr>
                <w:b w:val="0"/>
                <w:bCs/>
                <w:szCs w:val="24"/>
                <w:lang w:val="en-GB"/>
              </w:rPr>
              <w:t>Stock initial = Stock final</w:t>
            </w:r>
            <w:r w:rsidRPr="001B4AAC">
              <w:rPr>
                <w:b w:val="0"/>
                <w:bCs/>
                <w:szCs w:val="24"/>
                <w:lang w:val="en-US"/>
              </w:rPr>
              <w:tab/>
            </w:r>
            <w:r>
              <w:rPr>
                <w:b w:val="0"/>
                <w:bCs/>
                <w:szCs w:val="24"/>
                <w:lang w:val="en-US"/>
              </w:rPr>
              <w:t>.</w:t>
            </w:r>
          </w:p>
          <w:p w:rsidR="00A63B15" w:rsidRDefault="001B4AAC" w:rsidP="00EC31EA">
            <w:pPr>
              <w:pStyle w:val="Titre3"/>
              <w:spacing w:before="120" w:after="60"/>
              <w:jc w:val="both"/>
              <w:rPr>
                <w:bCs w:val="0"/>
                <w:iCs/>
                <w:szCs w:val="24"/>
                <w:lang w:val="en-US"/>
              </w:rPr>
            </w:pPr>
            <w:r w:rsidRPr="001B4AAC">
              <w:rPr>
                <w:bCs w:val="0"/>
                <w:iCs/>
                <w:szCs w:val="24"/>
                <w:lang w:val="en-US"/>
              </w:rPr>
              <w:t xml:space="preserve">d) </w:t>
            </w:r>
            <w:r w:rsidR="00A63B15">
              <w:rPr>
                <w:bCs w:val="0"/>
                <w:iCs/>
                <w:szCs w:val="24"/>
                <w:lang w:val="en-US"/>
              </w:rPr>
              <w:t xml:space="preserve">TVA </w:t>
            </w:r>
            <w:r w:rsidRPr="001B4AAC">
              <w:rPr>
                <w:bCs w:val="0"/>
                <w:iCs/>
                <w:szCs w:val="24"/>
                <w:lang w:val="en-US"/>
              </w:rPr>
              <w:t xml:space="preserve">: </w:t>
            </w:r>
          </w:p>
          <w:p w:rsidR="001B4AAC" w:rsidRPr="001B4AAC" w:rsidRDefault="00A63B15" w:rsidP="00A63B15">
            <w:pPr>
              <w:pStyle w:val="Titre3"/>
              <w:numPr>
                <w:ilvl w:val="0"/>
                <w:numId w:val="42"/>
              </w:numPr>
              <w:ind w:left="357" w:hanging="357"/>
              <w:jc w:val="both"/>
              <w:rPr>
                <w:b w:val="0"/>
                <w:bCs w:val="0"/>
                <w:iCs/>
                <w:szCs w:val="24"/>
                <w:lang w:val="en-US"/>
              </w:rPr>
            </w:pPr>
            <w:r>
              <w:rPr>
                <w:b w:val="0"/>
                <w:bCs w:val="0"/>
                <w:iCs/>
                <w:szCs w:val="24"/>
                <w:lang w:val="en-US"/>
              </w:rPr>
              <w:t xml:space="preserve">Taux de TVA </w:t>
            </w:r>
            <w:r w:rsidRPr="00A63B15">
              <w:rPr>
                <w:b w:val="0"/>
                <w:bCs w:val="0"/>
                <w:iCs/>
                <w:szCs w:val="24"/>
                <w:lang w:val="en-US"/>
              </w:rPr>
              <w:t>:</w:t>
            </w:r>
            <w:r w:rsidRPr="001B4AAC">
              <w:rPr>
                <w:bCs w:val="0"/>
                <w:iCs/>
                <w:szCs w:val="24"/>
                <w:lang w:val="en-US"/>
              </w:rPr>
              <w:t xml:space="preserve"> </w:t>
            </w:r>
            <w:r w:rsidR="00393C8A">
              <w:rPr>
                <w:b w:val="0"/>
                <w:bCs w:val="0"/>
                <w:iCs/>
                <w:szCs w:val="24"/>
                <w:lang w:val="en-US"/>
              </w:rPr>
              <w:t>normal</w:t>
            </w:r>
            <w:r w:rsidR="001B4AAC">
              <w:rPr>
                <w:b w:val="0"/>
                <w:bCs w:val="0"/>
                <w:iCs/>
                <w:szCs w:val="24"/>
                <w:lang w:val="en-US"/>
              </w:rPr>
              <w:t>.</w:t>
            </w:r>
          </w:p>
          <w:p w:rsidR="001B4AAC" w:rsidRPr="001B4AAC" w:rsidRDefault="001B4AAC" w:rsidP="001B4AAC">
            <w:pPr>
              <w:pStyle w:val="Paragraphedeliste"/>
              <w:numPr>
                <w:ilvl w:val="0"/>
                <w:numId w:val="40"/>
              </w:numPr>
              <w:jc w:val="both"/>
              <w:rPr>
                <w:b w:val="0"/>
                <w:bCs/>
                <w:szCs w:val="24"/>
              </w:rPr>
            </w:pPr>
            <w:r w:rsidRPr="001B4AAC">
              <w:rPr>
                <w:b w:val="0"/>
                <w:bCs/>
                <w:szCs w:val="24"/>
              </w:rPr>
              <w:t>La TVA nette due est payable le 20 du mois suivant celui de la déclaration.</w:t>
            </w:r>
          </w:p>
          <w:p w:rsidR="001B4AAC" w:rsidRPr="001B4AAC" w:rsidRDefault="00A63B15" w:rsidP="00EC31EA">
            <w:pPr>
              <w:spacing w:before="120" w:after="6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e) C</w:t>
            </w:r>
            <w:r w:rsidR="001B4AAC" w:rsidRPr="001B4AAC">
              <w:rPr>
                <w:bCs/>
                <w:szCs w:val="24"/>
              </w:rPr>
              <w:t>harges de personnel :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charges de personnel brutes annuelles fixes s’élèvent à 1 800 000 €.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salariés sont mensualisés.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salaires nets représentent 80 % des salaires bruts.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charges sociales patronales correspondent à 40 % de la masse salariale brute.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personnels commerciaux perçoivent en outre une rémunération calculée sur le chiffre d’affaires.</w:t>
            </w:r>
          </w:p>
          <w:p w:rsidR="001B4AAC" w:rsidRPr="00A63B15" w:rsidRDefault="001B4AAC" w:rsidP="00A63B15">
            <w:pPr>
              <w:pStyle w:val="Paragraphedeliste"/>
              <w:numPr>
                <w:ilvl w:val="0"/>
                <w:numId w:val="41"/>
              </w:numPr>
              <w:jc w:val="both"/>
              <w:rPr>
                <w:b w:val="0"/>
                <w:bCs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 taux de commission est de 6 % du CA HT (à considérer ici comme non soumises aux cotisations)</w:t>
            </w:r>
            <w:r w:rsidR="00A63B15">
              <w:rPr>
                <w:b w:val="0"/>
                <w:bCs/>
                <w:szCs w:val="24"/>
              </w:rPr>
              <w:t>.</w:t>
            </w:r>
          </w:p>
          <w:p w:rsidR="00A63B15" w:rsidRPr="00A63B15" w:rsidRDefault="00A63B15" w:rsidP="00EC31EA">
            <w:pPr>
              <w:spacing w:before="60" w:after="6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f) C</w:t>
            </w:r>
            <w:r w:rsidR="001B4AAC" w:rsidRPr="00A63B15">
              <w:rPr>
                <w:bCs/>
                <w:szCs w:val="24"/>
              </w:rPr>
              <w:t>harges de distribution</w:t>
            </w:r>
            <w:r w:rsidRPr="00A63B15">
              <w:rPr>
                <w:bCs/>
                <w:szCs w:val="24"/>
              </w:rPr>
              <w:t> :</w:t>
            </w:r>
          </w:p>
          <w:p w:rsidR="00251362" w:rsidRPr="00A63B15" w:rsidRDefault="00A63B15" w:rsidP="00A63B15">
            <w:pPr>
              <w:pStyle w:val="Paragraphedeliste"/>
              <w:numPr>
                <w:ilvl w:val="0"/>
                <w:numId w:val="43"/>
              </w:numPr>
              <w:spacing w:before="60" w:after="120"/>
              <w:jc w:val="both"/>
              <w:rPr>
                <w:b w:val="0"/>
                <w:szCs w:val="24"/>
              </w:rPr>
            </w:pPr>
            <w:r w:rsidRPr="00A63B15">
              <w:rPr>
                <w:b w:val="0"/>
                <w:bCs/>
                <w:szCs w:val="24"/>
              </w:rPr>
              <w:t>Les charges de distribution (emballages, transports</w:t>
            </w:r>
            <w:r w:rsidR="001B4AAC" w:rsidRPr="00A63B15">
              <w:rPr>
                <w:b w:val="0"/>
                <w:bCs/>
                <w:szCs w:val="24"/>
              </w:rPr>
              <w:t>…) correspondent à 9 % du CA HT.</w:t>
            </w:r>
          </w:p>
        </w:tc>
      </w:tr>
    </w:tbl>
    <w:p w:rsidR="00EE4739" w:rsidRDefault="00EE4739" w:rsidP="00251362">
      <w:pPr>
        <w:pStyle w:val="Titre2"/>
        <w:numPr>
          <w:ilvl w:val="0"/>
          <w:numId w:val="0"/>
        </w:numPr>
        <w:ind w:left="1428" w:hanging="720"/>
        <w:rPr>
          <w:snapToGrid w:val="0"/>
        </w:rPr>
      </w:pPr>
      <w:bookmarkStart w:id="0" w:name="_Toc324950204"/>
    </w:p>
    <w:bookmarkEnd w:id="0"/>
    <w:p w:rsidR="00251362" w:rsidRDefault="00251362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p w:rsidR="00332389" w:rsidRDefault="00332389" w:rsidP="0031680C"/>
    <w:sectPr w:rsidR="00332389" w:rsidSect="002E75BE">
      <w:footerReference w:type="even" r:id="rId8"/>
      <w:footerReference w:type="default" r:id="rId9"/>
      <w:footnotePr>
        <w:pos w:val="beneathText"/>
      </w:footnotePr>
      <w:pgSz w:w="11905" w:h="16837" w:code="9"/>
      <w:pgMar w:top="284" w:right="1134" w:bottom="567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36" w:rsidRDefault="00323E36">
      <w:r>
        <w:separator/>
      </w:r>
    </w:p>
  </w:endnote>
  <w:endnote w:type="continuationSeparator" w:id="0">
    <w:p w:rsidR="00323E36" w:rsidRDefault="00323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F26CB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F26CBF" w:rsidRPr="006156A7">
      <w:rPr>
        <w:rStyle w:val="Numrodepage"/>
        <w:iCs/>
        <w:sz w:val="18"/>
        <w:szCs w:val="18"/>
      </w:rPr>
      <w:fldChar w:fldCharType="separate"/>
    </w:r>
    <w:r w:rsidR="002E75BE">
      <w:rPr>
        <w:rStyle w:val="Numrodepage"/>
        <w:iCs/>
        <w:noProof/>
        <w:sz w:val="18"/>
        <w:szCs w:val="18"/>
      </w:rPr>
      <w:t>2</w:t>
    </w:r>
    <w:r w:rsidR="00F26CBF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F26CB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F26CBF" w:rsidRPr="006156A7">
      <w:rPr>
        <w:rStyle w:val="Numrodepage"/>
        <w:iCs/>
        <w:sz w:val="18"/>
        <w:szCs w:val="18"/>
      </w:rPr>
      <w:fldChar w:fldCharType="separate"/>
    </w:r>
    <w:r w:rsidR="00756FF4">
      <w:rPr>
        <w:rStyle w:val="Numrodepage"/>
        <w:iCs/>
        <w:noProof/>
        <w:sz w:val="18"/>
        <w:szCs w:val="18"/>
      </w:rPr>
      <w:t>1</w:t>
    </w:r>
    <w:r w:rsidR="00F26CBF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F26CB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26CBF" w:rsidRPr="0031680C">
      <w:rPr>
        <w:rStyle w:val="Numrodepage"/>
        <w:iCs/>
        <w:sz w:val="18"/>
        <w:szCs w:val="18"/>
      </w:rPr>
      <w:fldChar w:fldCharType="separate"/>
    </w:r>
    <w:r w:rsidR="00756FF4">
      <w:rPr>
        <w:rStyle w:val="Numrodepage"/>
        <w:iCs/>
        <w:noProof/>
        <w:sz w:val="18"/>
        <w:szCs w:val="18"/>
      </w:rPr>
      <w:t>1</w:t>
    </w:r>
    <w:r w:rsidR="00F26CBF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26CB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26CBF" w:rsidRPr="0031680C">
      <w:rPr>
        <w:rStyle w:val="Numrodepage"/>
        <w:iCs/>
        <w:sz w:val="18"/>
        <w:szCs w:val="18"/>
      </w:rPr>
      <w:fldChar w:fldCharType="separate"/>
    </w:r>
    <w:r w:rsidR="00756FF4">
      <w:rPr>
        <w:rStyle w:val="Numrodepage"/>
        <w:iCs/>
        <w:noProof/>
        <w:sz w:val="18"/>
        <w:szCs w:val="18"/>
      </w:rPr>
      <w:t>1</w:t>
    </w:r>
    <w:r w:rsidR="00F26CBF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36" w:rsidRDefault="00323E36">
      <w:r>
        <w:separator/>
      </w:r>
    </w:p>
  </w:footnote>
  <w:footnote w:type="continuationSeparator" w:id="0">
    <w:p w:rsidR="00323E36" w:rsidRDefault="00323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08E6D26"/>
    <w:multiLevelType w:val="hybridMultilevel"/>
    <w:tmpl w:val="12628C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2106"/>
    <w:multiLevelType w:val="hybridMultilevel"/>
    <w:tmpl w:val="4FEEC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843CB"/>
    <w:multiLevelType w:val="hybridMultilevel"/>
    <w:tmpl w:val="21205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076AC"/>
    <w:multiLevelType w:val="hybridMultilevel"/>
    <w:tmpl w:val="06EE3C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73234"/>
    <w:multiLevelType w:val="hybridMultilevel"/>
    <w:tmpl w:val="71BA61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9B0616"/>
    <w:multiLevelType w:val="hybridMultilevel"/>
    <w:tmpl w:val="E4029D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3D1762C8"/>
    <w:multiLevelType w:val="hybridMultilevel"/>
    <w:tmpl w:val="AA66C00E"/>
    <w:lvl w:ilvl="0" w:tplc="1BE4633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8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047"/>
    <w:multiLevelType w:val="hybridMultilevel"/>
    <w:tmpl w:val="616609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E53F30"/>
    <w:multiLevelType w:val="hybridMultilevel"/>
    <w:tmpl w:val="B5784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220E7B"/>
    <w:multiLevelType w:val="hybridMultilevel"/>
    <w:tmpl w:val="52EED6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7338B"/>
    <w:multiLevelType w:val="hybridMultilevel"/>
    <w:tmpl w:val="11B6B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072284"/>
    <w:multiLevelType w:val="hybridMultilevel"/>
    <w:tmpl w:val="CD4683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9">
    <w:nsid w:val="4FCC1ADA"/>
    <w:multiLevelType w:val="hybridMultilevel"/>
    <w:tmpl w:val="9DA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6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64DAB"/>
    <w:multiLevelType w:val="hybridMultilevel"/>
    <w:tmpl w:val="F594D42E"/>
    <w:lvl w:ilvl="0" w:tplc="1BE46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C8F04BC"/>
    <w:multiLevelType w:val="hybridMultilevel"/>
    <w:tmpl w:val="9B3CCBE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03C46"/>
    <w:multiLevelType w:val="hybridMultilevel"/>
    <w:tmpl w:val="1B2497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062D24"/>
    <w:multiLevelType w:val="hybridMultilevel"/>
    <w:tmpl w:val="E5267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45017F"/>
    <w:multiLevelType w:val="hybridMultilevel"/>
    <w:tmpl w:val="4AC6F36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44"/>
  </w:num>
  <w:num w:numId="4">
    <w:abstractNumId w:val="21"/>
  </w:num>
  <w:num w:numId="5">
    <w:abstractNumId w:val="40"/>
  </w:num>
  <w:num w:numId="6">
    <w:abstractNumId w:val="15"/>
  </w:num>
  <w:num w:numId="7">
    <w:abstractNumId w:val="12"/>
  </w:num>
  <w:num w:numId="8">
    <w:abstractNumId w:val="26"/>
  </w:num>
  <w:num w:numId="9">
    <w:abstractNumId w:val="36"/>
  </w:num>
  <w:num w:numId="10">
    <w:abstractNumId w:val="2"/>
  </w:num>
  <w:num w:numId="11">
    <w:abstractNumId w:val="25"/>
  </w:num>
  <w:num w:numId="12">
    <w:abstractNumId w:val="17"/>
  </w:num>
  <w:num w:numId="13">
    <w:abstractNumId w:val="3"/>
  </w:num>
  <w:num w:numId="14">
    <w:abstractNumId w:val="30"/>
  </w:num>
  <w:num w:numId="15">
    <w:abstractNumId w:val="34"/>
  </w:num>
  <w:num w:numId="16">
    <w:abstractNumId w:val="22"/>
  </w:num>
  <w:num w:numId="17">
    <w:abstractNumId w:val="18"/>
  </w:num>
  <w:num w:numId="18">
    <w:abstractNumId w:val="39"/>
  </w:num>
  <w:num w:numId="19">
    <w:abstractNumId w:val="24"/>
  </w:num>
  <w:num w:numId="20">
    <w:abstractNumId w:val="35"/>
  </w:num>
  <w:num w:numId="21">
    <w:abstractNumId w:val="6"/>
  </w:num>
  <w:num w:numId="22">
    <w:abstractNumId w:val="41"/>
  </w:num>
  <w:num w:numId="23">
    <w:abstractNumId w:val="32"/>
  </w:num>
  <w:num w:numId="24">
    <w:abstractNumId w:val="7"/>
  </w:num>
  <w:num w:numId="25">
    <w:abstractNumId w:val="11"/>
  </w:num>
  <w:num w:numId="26">
    <w:abstractNumId w:val="10"/>
  </w:num>
  <w:num w:numId="27">
    <w:abstractNumId w:val="45"/>
  </w:num>
  <w:num w:numId="28">
    <w:abstractNumId w:val="8"/>
  </w:num>
  <w:num w:numId="29">
    <w:abstractNumId w:val="33"/>
  </w:num>
  <w:num w:numId="30">
    <w:abstractNumId w:val="4"/>
  </w:num>
  <w:num w:numId="31">
    <w:abstractNumId w:val="37"/>
  </w:num>
  <w:num w:numId="32">
    <w:abstractNumId w:val="16"/>
  </w:num>
  <w:num w:numId="33">
    <w:abstractNumId w:val="28"/>
  </w:num>
  <w:num w:numId="34">
    <w:abstractNumId w:val="47"/>
  </w:num>
  <w:num w:numId="35">
    <w:abstractNumId w:val="19"/>
  </w:num>
  <w:num w:numId="36">
    <w:abstractNumId w:val="31"/>
  </w:num>
  <w:num w:numId="37">
    <w:abstractNumId w:val="43"/>
  </w:num>
  <w:num w:numId="38">
    <w:abstractNumId w:val="5"/>
  </w:num>
  <w:num w:numId="39">
    <w:abstractNumId w:val="42"/>
  </w:num>
  <w:num w:numId="40">
    <w:abstractNumId w:val="1"/>
  </w:num>
  <w:num w:numId="41">
    <w:abstractNumId w:val="20"/>
  </w:num>
  <w:num w:numId="42">
    <w:abstractNumId w:val="13"/>
  </w:num>
  <w:num w:numId="43">
    <w:abstractNumId w:val="23"/>
  </w:num>
  <w:num w:numId="44">
    <w:abstractNumId w:val="27"/>
  </w:num>
  <w:num w:numId="45">
    <w:abstractNumId w:val="14"/>
  </w:num>
  <w:num w:numId="46">
    <w:abstractNumId w:val="38"/>
  </w:num>
  <w:num w:numId="47">
    <w:abstractNumId w:val="9"/>
  </w:num>
  <w:num w:numId="48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2313F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3615"/>
    <w:rsid w:val="001B4AAC"/>
    <w:rsid w:val="001C04D5"/>
    <w:rsid w:val="001C4DAB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E75BE"/>
    <w:rsid w:val="002F4F91"/>
    <w:rsid w:val="003004F7"/>
    <w:rsid w:val="00304AA3"/>
    <w:rsid w:val="003052EF"/>
    <w:rsid w:val="0031680C"/>
    <w:rsid w:val="003236C4"/>
    <w:rsid w:val="00323E36"/>
    <w:rsid w:val="00332389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3C8A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4A44"/>
    <w:rsid w:val="005C7677"/>
    <w:rsid w:val="005D3B36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6FF4"/>
    <w:rsid w:val="007571B9"/>
    <w:rsid w:val="00781B7F"/>
    <w:rsid w:val="007856D2"/>
    <w:rsid w:val="00795355"/>
    <w:rsid w:val="0079654A"/>
    <w:rsid w:val="007A23C2"/>
    <w:rsid w:val="007B3B08"/>
    <w:rsid w:val="007C1B03"/>
    <w:rsid w:val="007D1584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C560A"/>
    <w:rsid w:val="009D0C96"/>
    <w:rsid w:val="009F185F"/>
    <w:rsid w:val="009F7F29"/>
    <w:rsid w:val="00A1189E"/>
    <w:rsid w:val="00A63B15"/>
    <w:rsid w:val="00A74BC5"/>
    <w:rsid w:val="00A76FA3"/>
    <w:rsid w:val="00A815C9"/>
    <w:rsid w:val="00A907B6"/>
    <w:rsid w:val="00AB1736"/>
    <w:rsid w:val="00AB4DB3"/>
    <w:rsid w:val="00AD598F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0CA7"/>
    <w:rsid w:val="00C95AFC"/>
    <w:rsid w:val="00CA032C"/>
    <w:rsid w:val="00CA63BA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37489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31EA"/>
    <w:rsid w:val="00EC6BDF"/>
    <w:rsid w:val="00ED1C43"/>
    <w:rsid w:val="00ED3C93"/>
    <w:rsid w:val="00EE4739"/>
    <w:rsid w:val="00F02B57"/>
    <w:rsid w:val="00F060B7"/>
    <w:rsid w:val="00F07A63"/>
    <w:rsid w:val="00F15494"/>
    <w:rsid w:val="00F26CBF"/>
    <w:rsid w:val="00F2762A"/>
    <w:rsid w:val="00F30A06"/>
    <w:rsid w:val="00F33519"/>
    <w:rsid w:val="00F34E75"/>
    <w:rsid w:val="00F36621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7699E-63DD-42BD-A4E7-D7AE7BEF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1284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7</cp:revision>
  <cp:lastPrinted>2015-06-17T19:14:00Z</cp:lastPrinted>
  <dcterms:created xsi:type="dcterms:W3CDTF">2012-05-16T16:39:00Z</dcterms:created>
  <dcterms:modified xsi:type="dcterms:W3CDTF">2015-06-17T19:14:00Z</dcterms:modified>
  <cp:category>IEL</cp:category>
</cp:coreProperties>
</file>